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LexisNexis(R) Forms FORM 260-50.02-1</w:t>
      </w:r>
    </w:p>
    <w:p>
      <w:pPr>
        <w:keepNext w:val="0"/>
        <w:spacing w:before="120" w:after="0" w:line="260" w:lineRule="exact"/>
        <w:ind w:left="0" w:right="0" w:firstLine="0"/>
        <w:jc w:val="center"/>
      </w:pPr>
      <w:r>
        <w:rPr>
          <w:rFonts w:ascii="Times New Roman" w:hAnsi="Times New Roman" w:eastAsia="Times New Roman" w:cs="Times New Roman"/>
          <w:b w:val="0"/>
          <w:sz w:val="24"/>
        </w:rPr>
        <w:t>Compliance</w:t>
      </w:r>
    </w:p>
    <w:p>
      <w:pPr>
        <w:keepNext w:val="0"/>
        <w:spacing w:before="120" w:after="0" w:line="260" w:lineRule="exact"/>
        <w:ind w:left="0" w:right="0" w:firstLine="0"/>
        <w:jc w:val="center"/>
      </w:pPr>
      <w:r>
        <w:rPr>
          <w:rFonts w:ascii="Times New Roman" w:hAnsi="Times New Roman" w:eastAsia="Times New Roman" w:cs="Times New Roman"/>
          <w:b w:val="0"/>
          <w:sz w:val="24"/>
        </w:rPr>
        <w:t>Checklist</w:t>
      </w:r>
    </w:p>
    <w:p>
      <w:pPr>
        <w:keepNext w:val="0"/>
        <w:spacing w:before="120" w:after="0" w:line="260" w:lineRule="exact"/>
        <w:ind w:left="0" w:right="0" w:firstLine="0"/>
        <w:jc w:val="center"/>
      </w:pPr>
      <w:r>
        <w:rPr>
          <w:rFonts w:ascii="Times New Roman" w:hAnsi="Times New Roman" w:eastAsia="Times New Roman" w:cs="Times New Roman"/>
          <w:b w:val="0"/>
          <w:sz w:val="24"/>
        </w:rPr>
        <w:t>Pennsylvania</w:t>
      </w:r>
    </w:p>
    <w:p>
      <w:pPr>
        <w:keepNext w:val="0"/>
        <w:spacing w:after="0" w:line="240" w:lineRule="exact"/>
        <w:ind w:right="0"/>
        <w:jc w:val="both"/>
      </w:pPr>
    </w:p>
    <w:p>
      <w:pPr>
        <w:keepNext/>
        <w:spacing w:before="240" w:after="0" w:line="340" w:lineRule="exact"/>
        <w:ind w:left="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FORM 50.02-1 HIPAA Security Risk Analysis</w:t>
      </w:r>
    </w:p>
    <w:p>
      <w:pPr>
        <w:spacing w:line="60" w:lineRule="exact"/>
      </w:pPr>
    </w:p>
    <w:p>
      <w:pPr/>
    </w:p>
    <w:p>
      <w:pPr>
        <w:keepNext w:val="0"/>
        <w:spacing w:after="0" w:line="260" w:lineRule="exact"/>
        <w:ind w:left="0" w:right="0" w:firstLine="0"/>
        <w:jc w:val="left"/>
      </w:pPr>
      <w:r>
        <w:rPr>
          <w:rFonts w:ascii="Times New Roman" w:hAnsi="Times New Roman" w:eastAsia="Times New Roman" w:cs="Times New Roman"/>
          <w:sz w:val="24"/>
        </w:rPr>
        <w:br/>
      </w:r>
    </w:p>
    <w:p>
      <w:pPr>
        <w:keepNext w:val="0"/>
        <w:spacing w:before="240" w:after="0" w:line="260" w:lineRule="exact"/>
        <w:ind w:left="0" w:right="0" w:firstLine="0"/>
        <w:jc w:val="left"/>
      </w:pPr>
      <w:r>
        <w:rPr>
          <w:rFonts w:ascii="Times New Roman" w:hAnsi="Times New Roman" w:eastAsia="Times New Roman" w:cs="Times New Roman"/>
          <w:b/>
          <w:sz w:val="24"/>
        </w:rPr>
        <w:t>CHECKLIST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1. Does Covered Entity have covered E-PHI (transmissions of PHI over the Internet, extranet, leased lines, dial-up lines, broadband, wireless and private networks, including faxes and stored E-PHI, including telephone voice response and “faxback” systems, but not including paper-to-paper faxes, person-to-person phone calls, or video conferencing)? </w:t>
      </w:r>
      <w:r>
        <w:rPr>
          <w:rFonts w:ascii="Times New Roman" w:hAnsi="Times New Roman" w:eastAsia="Times New Roman" w:cs="Times New Roman"/>
          <w:b w:val="0"/>
          <w:sz w:val="24"/>
        </w:rPr>
        <w:t>[</w:t>
      </w:r>
      <w:r>
        <w:rPr>
          <w:rFonts w:ascii="Times New Roman" w:hAnsi="Times New Roman" w:eastAsia="Times New Roman" w:cs="Times New Roman"/>
          <w:b w:val="0"/>
          <w:sz w:val="24"/>
        </w:rPr>
        <w:t>List basic categories of PCA E-PHI in Risk Analysis document.</w:t>
      </w:r>
      <w:r>
        <w:rPr>
          <w:rFonts w:ascii="Times New Roman" w:hAnsi="Times New Roman" w:eastAsia="Times New Roman" w:cs="Times New Roman"/>
          <w:b w:val="0"/>
          <w:sz w:val="24"/>
        </w:rPr>
        <w:t>]</w:t>
      </w:r>
    </w:p>
    <w:p>
      <w:pPr>
        <w:keepNext w:val="0"/>
        <w:spacing w:before="200" w:after="0" w:line="260" w:lineRule="exact"/>
        <w:ind w:left="0" w:right="0" w:firstLine="0"/>
        <w:jc w:val="both"/>
      </w:pPr>
      <w:r>
        <w:rPr>
          <w:rFonts w:ascii="Times New Roman" w:hAnsi="Times New Roman" w:eastAsia="Times New Roman" w:cs="Times New Roman"/>
          <w:b w:val="0"/>
          <w:sz w:val="24"/>
        </w:rPr>
        <w:t>2. Relatedly, list any Covered Entity “at home” functions with E-PHI (home-based or on-the-road work involving E-PHI is covered). (“Workstations” include portable devices.)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3. Has Covered Entity stated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HIPAA Security Risk Analysis and Assessment is required? </w:t>
      </w:r>
      <w:r>
        <w:rPr>
          <w:rFonts w:ascii="Times New Roman" w:hAnsi="Times New Roman" w:eastAsia="Times New Roman" w:cs="Times New Roman"/>
          <w:b w:val="0"/>
          <w:sz w:val="24"/>
        </w:rPr>
        <w:t>[</w:t>
      </w:r>
      <w:r>
        <w:rPr>
          <w:rFonts w:ascii="Times New Roman" w:hAnsi="Times New Roman" w:eastAsia="Times New Roman" w:cs="Times New Roman"/>
          <w:b w:val="0"/>
          <w:sz w:val="24"/>
        </w:rPr>
        <w:t>Revise PCA HIPAA Privacy Policy to so state.</w:t>
      </w:r>
      <w:r>
        <w:rPr>
          <w:rFonts w:ascii="Times New Roman" w:hAnsi="Times New Roman" w:eastAsia="Times New Roman" w:cs="Times New Roman"/>
          <w:b w:val="0"/>
          <w:sz w:val="24"/>
        </w:rPr>
        <w: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+4. Has Covered Entity done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HIPAA Security Risk Analysis and Assessment?</w:t>
      </w:r>
    </w:p>
    <w:p>
      <w:pPr>
        <w:keepNext w:val="0"/>
        <w:spacing w:before="200" w:after="0" w:line="260" w:lineRule="exact"/>
        <w:ind w:left="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identify systems (including wireless and portable and mobile devices) using or containing E-PHI;</w:t>
      </w:r>
    </w:p>
    <w:p>
      <w:pPr>
        <w:keepNext w:val="0"/>
        <w:spacing w:before="200" w:after="0" w:line="260" w:lineRule="exact"/>
        <w:ind w:left="0" w:right="0" w:firstLine="0"/>
        <w:jc w:val="both"/>
      </w:pPr>
      <w:r>
        <w:rPr>
          <w:rFonts w:ascii="Times New Roman" w:hAnsi="Times New Roman" w:eastAsia="Times New Roman" w:cs="Times New Roman"/>
          <w:b w:val="0"/>
          <w:sz w:val="24"/>
        </w:rPr>
        <w:t>b. identify current security controls;</w:t>
      </w:r>
    </w:p>
    <w:p>
      <w:pPr>
        <w:keepNext w:val="0"/>
        <w:spacing w:before="200" w:after="0" w:line="260" w:lineRule="exact"/>
        <w:ind w:left="0" w:right="0" w:firstLine="0"/>
        <w:jc w:val="both"/>
      </w:pPr>
      <w:r>
        <w:rPr>
          <w:rFonts w:ascii="Times New Roman" w:hAnsi="Times New Roman" w:eastAsia="Times New Roman" w:cs="Times New Roman"/>
          <w:b w:val="0"/>
          <w:sz w:val="24"/>
        </w:rPr>
        <w:t>c. identify possible threats (risks) to appropriate confidentiality or integrity of E-PHI;</w:t>
      </w:r>
    </w:p>
    <w:p>
      <w:pPr>
        <w:keepNext w:val="0"/>
        <w:spacing w:before="200" w:after="0" w:line="260" w:lineRule="exact"/>
        <w:ind w:left="0" w:right="0" w:firstLine="0"/>
        <w:jc w:val="both"/>
      </w:pPr>
      <w:r>
        <w:rPr>
          <w:rFonts w:ascii="Times New Roman" w:hAnsi="Times New Roman" w:eastAsia="Times New Roman" w:cs="Times New Roman"/>
          <w:b w:val="0"/>
          <w:sz w:val="24"/>
        </w:rPr>
        <w:t>d. discuss how to reduce risks, with cost-benefit analysis.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5. Has Covered Entity established HIPAA Risk Management (as defined in the Security Rule)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required policy?</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6. Has Covered Entity established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Sanctions Policy for HIPAA Security violations? </w:t>
      </w:r>
      <w:r>
        <w:rPr>
          <w:rFonts w:ascii="Times New Roman" w:hAnsi="Times New Roman" w:eastAsia="Times New Roman" w:cs="Times New Roman"/>
          <w:b w:val="0"/>
          <w:sz w:val="24"/>
        </w:rPr>
        <w:t>[</w:t>
      </w:r>
      <w:r>
        <w:rPr>
          <w:rFonts w:ascii="Times New Roman" w:hAnsi="Times New Roman" w:eastAsia="Times New Roman" w:cs="Times New Roman"/>
          <w:b w:val="0"/>
          <w:sz w:val="24"/>
        </w:rPr>
        <w:t>Revise HIPAA Policy and Employee Handbook as necessary for sanctions for violations of HIPAA Security Rule.</w:t>
      </w:r>
      <w:r>
        <w:rPr>
          <w:rFonts w:ascii="Times New Roman" w:hAnsi="Times New Roman" w:eastAsia="Times New Roman" w:cs="Times New Roman"/>
          <w:b w:val="0"/>
          <w:sz w:val="24"/>
        </w:rPr>
        <w: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7. Has Covered Entity assigned the responsibility for HIPAA Security compliance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individual? </w:t>
      </w:r>
      <w:r>
        <w:rPr>
          <w:rFonts w:ascii="Times New Roman" w:hAnsi="Times New Roman" w:eastAsia="Times New Roman" w:cs="Times New Roman"/>
          <w:b w:val="0"/>
          <w:sz w:val="24"/>
        </w:rPr>
        <w:t>[</w:t>
      </w:r>
      <w:r>
        <w:rPr>
          <w:rFonts w:ascii="Times New Roman" w:hAnsi="Times New Roman" w:eastAsia="Times New Roman" w:cs="Times New Roman"/>
          <w:b w:val="0"/>
          <w:sz w:val="24"/>
        </w:rPr>
        <w:t>Include in Notice of Privacy Practices and HIPAA Privacy Policy; Security Official may be same as Privacy Official. The Official may delegate certain functions to other named individuals.</w:t>
      </w:r>
      <w:r>
        <w:rPr>
          <w:rFonts w:ascii="Times New Roman" w:hAnsi="Times New Roman" w:eastAsia="Times New Roman" w:cs="Times New Roman"/>
          <w:b w:val="0"/>
          <w:sz w:val="24"/>
        </w:rPr>
        <w: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8. Has Covered Entity established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framework for ensuring that personnel with incidental exposure to PHI and E-PHI (such as maintenance personnel) are supervised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knowledgeable as to HIPAA Privacy and Security requirements and other steps are taken to secure PHI? Steps may include:</w:t>
      </w:r>
    </w:p>
    <w:p>
      <w:pPr>
        <w:keepNext w:val="0"/>
        <w:spacing w:before="120" w:after="0" w:line="260" w:lineRule="exact"/>
        <w:ind w:right="0"/>
        <w:jc w:val="both"/>
      </w:pPr>
      <w:r>
        <w:rPr>
          <w:rFonts w:ascii="Times New Roman" w:hAnsi="Times New Roman" w:eastAsia="Times New Roman" w:cs="Times New Roman"/>
          <w:b w:val="0"/>
          <w:sz w:val="24"/>
        </w:rPr>
        <w:t>training of supervision in HIPAA requirements;</w:t>
      </w:r>
    </w:p>
    <w:p>
      <w:pPr>
        <w:keepNext w:val="0"/>
        <w:spacing w:before="120" w:after="0" w:line="260" w:lineRule="exact"/>
        <w:ind w:right="0"/>
        <w:jc w:val="both"/>
      </w:pPr>
      <w:r>
        <w:rPr>
          <w:rFonts w:ascii="Times New Roman" w:hAnsi="Times New Roman" w:eastAsia="Times New Roman" w:cs="Times New Roman"/>
          <w:b w:val="0"/>
          <w:sz w:val="24"/>
        </w:rPr>
        <w:t>ensuring that (maintenance and other personnel) have proper access authorization; and</w:t>
      </w:r>
    </w:p>
    <w:p>
      <w:pPr>
        <w:keepNext w:val="0"/>
        <w:spacing w:before="120" w:after="0" w:line="260" w:lineRule="exact"/>
        <w:ind w:right="0"/>
        <w:jc w:val="both"/>
      </w:pPr>
      <w:r>
        <w:rPr>
          <w:rFonts w:ascii="Times New Roman" w:hAnsi="Times New Roman" w:eastAsia="Times New Roman" w:cs="Times New Roman"/>
          <w:b w:val="0"/>
          <w:sz w:val="24"/>
        </w:rPr>
        <w:t>establishing (maintenance and other personnel) clearance procedures.</w:t>
      </w:r>
    </w:p>
    <w:p>
      <w:pPr>
        <w:keepNext w:val="0"/>
        <w:spacing w:before="200" w:after="0" w:line="260" w:lineRule="exact"/>
        <w:ind w:left="0" w:right="0" w:firstLine="0"/>
        <w:jc w:val="both"/>
      </w:pPr>
      <w:r>
        <w:rPr>
          <w:rFonts w:ascii="Times New Roman" w:hAnsi="Times New Roman" w:eastAsia="Times New Roman" w:cs="Times New Roman"/>
          <w:b w:val="0"/>
          <w:sz w:val="24"/>
        </w:rPr>
        <w:t>9. Has Covered Entity established “information access control” requirements: policies defining levels of access to E-PHI of all persons with some level of access E-PHI (and, how access is granted)? [</w:t>
      </w:r>
      <w:r>
        <w:rPr>
          <w:rFonts w:ascii="Times New Roman" w:hAnsi="Times New Roman" w:eastAsia="Times New Roman" w:cs="Times New Roman"/>
          <w:b w:val="0"/>
          <w:sz w:val="24"/>
        </w:rPr>
        <w:t>Make policy documentation available to those persons responsible for implementing the procedures to which the documents pertain.</w:t>
      </w:r>
      <w:r>
        <w:rPr>
          <w:rFonts w:ascii="Times New Roman" w:hAnsi="Times New Roman" w:eastAsia="Times New Roman" w:cs="Times New Roman"/>
          <w:b w:val="0"/>
          <w:sz w:val="24"/>
        </w:rPr>
        <w:t xml:space="preserve">] </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10. Has Covered Entity established HIPAA Security Training and implemented policies and procedures for periodic security updates?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w:t>
      </w:r>
      <w:r>
        <w:rPr>
          <w:rFonts w:ascii="Times New Roman" w:hAnsi="Times New Roman" w:eastAsia="Times New Roman" w:cs="Times New Roman"/>
          <w:b w:val="0"/>
          <w:sz w:val="24"/>
        </w:rPr>
        <w:t>Arrange meeting, as defined in Privacy Policy, with Persons With Access for informal training. Update Persons With Access list as necessary.</w:t>
      </w:r>
      <w:r>
        <w:rPr>
          <w:rFonts w:ascii="Times New Roman" w:hAnsi="Times New Roman" w:eastAsia="Times New Roman" w:cs="Times New Roman"/>
          <w:b w:val="0"/>
          <w:sz w:val="24"/>
        </w:rPr>
        <w: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+11. Has Covered Entity established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contingency plan for responding to system emergencies affecting E-PHI? </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Discuss with Information Systems persons (“ISPs”); list elements already in place and those to be developed; implement procedures for periodic testing and revision to the plan; </w:t>
      </w:r>
      <w:r>
        <w:rPr>
          <w:rFonts w:ascii="Times New Roman" w:hAnsi="Times New Roman" w:eastAsia="Times New Roman" w:cs="Times New Roman"/>
          <w:b w:val="0"/>
          <w:sz w:val="24"/>
        </w:rPr>
        <w:t xml:space="preserve">set in place policies and procedures to assess the relative criticality of specific applications and data in support of other contingency plan components; establish procedures that allow facility access in support of restoration of lost data in the event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emergency</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+12. Has Covered Entity established procedures for documenting repair and maintenance of components related to security? </w:t>
      </w:r>
      <w:r>
        <w:rPr>
          <w:rFonts w:ascii="Times New Roman" w:hAnsi="Times New Roman" w:eastAsia="Times New Roman" w:cs="Times New Roman"/>
          <w:b w:val="0"/>
          <w:sz w:val="24"/>
        </w:rPr>
        <w:t>[</w:t>
      </w:r>
      <w:r>
        <w:rPr>
          <w:rFonts w:ascii="Times New Roman" w:hAnsi="Times New Roman" w:eastAsia="Times New Roman" w:cs="Times New Roman"/>
          <w:b w:val="0"/>
          <w:sz w:val="24"/>
        </w:rPr>
        <w:t>Discuss with ISPs; amend HIPAA Policy as necessary. This would include identifying and responding to suspected or known security incidents; mitigating, harmful effects of security incidents; and documenting security incidents and their outcomes.</w:t>
      </w:r>
      <w:r>
        <w:rPr>
          <w:rFonts w:ascii="Times New Roman" w:hAnsi="Times New Roman" w:eastAsia="Times New Roman" w:cs="Times New Roman"/>
          <w:b w:val="0"/>
          <w:sz w:val="24"/>
        </w:rPr>
        <w: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13. Has Covered Entity modified its HIPAA Business Associate Agreements (“BAAs”) to encompass the HIPAA Security requirements per HITECH Act requirements? </w:t>
      </w:r>
      <w:r>
        <w:rPr>
          <w:rFonts w:ascii="Times New Roman" w:hAnsi="Times New Roman" w:eastAsia="Times New Roman" w:cs="Times New Roman"/>
          <w:b w:val="0"/>
          <w:sz w:val="24"/>
        </w:rPr>
        <w:t>[</w:t>
      </w:r>
      <w:r>
        <w:rPr>
          <w:rFonts w:ascii="Times New Roman" w:hAnsi="Times New Roman" w:eastAsia="Times New Roman" w:cs="Times New Roman"/>
          <w:b w:val="0"/>
          <w:sz w:val="24"/>
        </w:rPr>
        <w:t>Amend remaining BAAs; see Form 50.03-3</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*14. Has Covered Entity adopted formal policies and procedures for limiting </w:t>
      </w:r>
      <w:r>
        <w:rPr>
          <w:rFonts w:ascii="Times New Roman" w:hAnsi="Times New Roman" w:eastAsia="Times New Roman" w:cs="Times New Roman"/>
          <w:b w:val="0"/>
          <w:sz w:val="24"/>
        </w:rPr>
        <w:t>physical</w:t>
      </w:r>
      <w:r>
        <w:rPr>
          <w:rFonts w:ascii="Times New Roman" w:hAnsi="Times New Roman" w:eastAsia="Times New Roman" w:cs="Times New Roman"/>
          <w:b w:val="0"/>
          <w:sz w:val="24"/>
        </w:rPr>
        <w:t xml:space="preserve"> access to E-PHI while ensuring that properly authorized access is allowed? [</w:t>
      </w:r>
      <w:r>
        <w:rPr>
          <w:rFonts w:ascii="Times New Roman" w:hAnsi="Times New Roman" w:eastAsia="Times New Roman" w:cs="Times New Roman"/>
          <w:b w:val="0"/>
          <w:sz w:val="24"/>
        </w:rPr>
        <w:t>Ensure that the facility and equipment is safeguarded from unauthorized physical access or theft; implement procedures which documents security repairs and modifications.</w:t>
      </w:r>
      <w:r>
        <w:rPr>
          <w:rFonts w:ascii="Times New Roman" w:hAnsi="Times New Roman" w:eastAsia="Times New Roman" w:cs="Times New Roman"/>
          <w:b w:val="0"/>
          <w:sz w:val="24"/>
        </w:rPr>
        <w: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+*15. Has Covered Entity established procedures for workstation use,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requirement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log off before leaving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workstation unattended? </w:t>
      </w:r>
      <w:r>
        <w:rPr>
          <w:rFonts w:ascii="Times New Roman" w:hAnsi="Times New Roman" w:eastAsia="Times New Roman" w:cs="Times New Roman"/>
          <w:b w:val="0"/>
          <w:sz w:val="24"/>
        </w:rPr>
        <w:t>[</w:t>
      </w:r>
      <w:r>
        <w:rPr>
          <w:rFonts w:ascii="Times New Roman" w:hAnsi="Times New Roman" w:eastAsia="Times New Roman" w:cs="Times New Roman"/>
          <w:b w:val="0"/>
          <w:sz w:val="24"/>
        </w:rPr>
        <w:t>Review with ISPs.</w:t>
      </w:r>
      <w:r>
        <w:rPr>
          <w:rFonts w:ascii="Times New Roman" w:hAnsi="Times New Roman" w:eastAsia="Times New Roman" w:cs="Times New Roman"/>
          <w:b w:val="0"/>
          <w:sz w:val="24"/>
        </w:rPr>
        <w: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+*16. Has Covered Entity otherwise acted to restrict E-PHI workstations by location, barriers, and other techniques. </w:t>
      </w:r>
      <w:r>
        <w:rPr>
          <w:rFonts w:ascii="Times New Roman" w:hAnsi="Times New Roman" w:eastAsia="Times New Roman" w:cs="Times New Roman"/>
          <w:b w:val="0"/>
          <w:sz w:val="24"/>
        </w:rPr>
        <w:t>[</w:t>
      </w:r>
      <w:r>
        <w:rPr>
          <w:rFonts w:ascii="Times New Roman" w:hAnsi="Times New Roman" w:eastAsia="Times New Roman" w:cs="Times New Roman"/>
          <w:b w:val="0"/>
          <w:sz w:val="24"/>
        </w:rPr>
        <w:t>Review with ISPs.</w:t>
      </w:r>
      <w:r>
        <w:rPr>
          <w:rFonts w:ascii="Times New Roman" w:hAnsi="Times New Roman" w:eastAsia="Times New Roman" w:cs="Times New Roman"/>
          <w:b w:val="0"/>
          <w:sz w:val="24"/>
        </w:rPr>
        <w: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+*17. Has Covered Entity adopted formal “media control” policies governing receipt and removal of hardware and/or software into and out of facilities, including laptops, PDAs, flashdrives, smart phones, tablets, DVDs, wireless systems, home computer access (Includes procedures for removal of E-PHI before equipment is made available for re-use.)? </w:t>
      </w:r>
      <w:r>
        <w:rPr>
          <w:rFonts w:ascii="Times New Roman" w:hAnsi="Times New Roman" w:eastAsia="Times New Roman" w:cs="Times New Roman"/>
          <w:b w:val="0"/>
          <w:sz w:val="24"/>
        </w:rPr>
        <w:t>[</w:t>
      </w:r>
      <w:r>
        <w:rPr>
          <w:rFonts w:ascii="Times New Roman" w:hAnsi="Times New Roman" w:eastAsia="Times New Roman" w:cs="Times New Roman"/>
          <w:b w:val="0"/>
          <w:sz w:val="24"/>
        </w:rPr>
        <w:t>Review with ISPs; revise Privacy Policy accordingly. Equipment use and recycling also are addressed here as well as maintenance of records for the accountability of the hardware and electronic media.</w:t>
      </w:r>
      <w:r>
        <w:rPr>
          <w:rFonts w:ascii="Times New Roman" w:hAnsi="Times New Roman" w:eastAsia="Times New Roman" w:cs="Times New Roman"/>
          <w:b w:val="0"/>
          <w:sz w:val="24"/>
        </w:rPr>
        <w: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+*18. Does Covered Entity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data back-up plan? </w:t>
      </w:r>
      <w:r>
        <w:rPr>
          <w:rFonts w:ascii="Times New Roman" w:hAnsi="Times New Roman" w:eastAsia="Times New Roman" w:cs="Times New Roman"/>
          <w:b w:val="0"/>
          <w:sz w:val="24"/>
        </w:rPr>
        <w:t>[</w:t>
      </w:r>
      <w:r>
        <w:rPr>
          <w:rFonts w:ascii="Times New Roman" w:hAnsi="Times New Roman" w:eastAsia="Times New Roman" w:cs="Times New Roman"/>
          <w:b w:val="0"/>
          <w:sz w:val="24"/>
        </w:rPr>
        <w:t>Review with ISPs; define what information needs to be retrievable for the entity to continue business as usual while in emergency mode. Then, determine what back-up techniques already exist and which should be developed; implement as necessary procedures which were established to restore any loss of data; amend Policy accordingly.</w:t>
      </w:r>
      <w:r>
        <w:rPr>
          <w:rFonts w:ascii="Times New Roman" w:hAnsi="Times New Roman" w:eastAsia="Times New Roman" w:cs="Times New Roman"/>
          <w:b w:val="0"/>
          <w:sz w:val="24"/>
        </w:rPr>
        <w: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+*19. Does Covered Entity have access control by:    </w:t>
      </w:r>
    </w:p>
    <w:p>
      <w:pPr>
        <w:keepNext w:val="0"/>
        <w:spacing w:before="200" w:after="0" w:line="260" w:lineRule="exact"/>
        <w:ind w:left="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unique user IDs (required IS);</w:t>
      </w:r>
    </w:p>
    <w:p>
      <w:pPr>
        <w:keepNext w:val="0"/>
        <w:spacing w:before="60" w:after="0" w:line="260" w:lineRule="exact"/>
        <w:ind w:left="0" w:right="0" w:firstLine="0"/>
        <w:jc w:val="both"/>
      </w:pPr>
      <w:r>
        <w:rPr>
          <w:rFonts w:ascii="Times New Roman" w:hAnsi="Times New Roman" w:eastAsia="Times New Roman" w:cs="Times New Roman"/>
          <w:b w:val="0"/>
          <w:sz w:val="24"/>
        </w:rPr>
        <w:t>b. automatic logoff (required IS);</w:t>
      </w:r>
    </w:p>
    <w:p>
      <w:pPr>
        <w:keepNext w:val="0"/>
        <w:spacing w:before="60" w:after="0" w:line="260" w:lineRule="exact"/>
        <w:ind w:left="0" w:right="0" w:firstLine="0"/>
        <w:jc w:val="both"/>
      </w:pPr>
      <w:r>
        <w:rPr>
          <w:rFonts w:ascii="Times New Roman" w:hAnsi="Times New Roman" w:eastAsia="Times New Roman" w:cs="Times New Roman"/>
          <w:b w:val="0"/>
          <w:sz w:val="24"/>
        </w:rPr>
        <w:t>c. encryption and decryption (Addressable); and</w:t>
      </w:r>
    </w:p>
    <w:p>
      <w:pPr>
        <w:keepNext w:val="0"/>
        <w:spacing w:before="200" w:after="0" w:line="260" w:lineRule="exact"/>
        <w:ind w:left="0" w:right="0" w:firstLine="0"/>
        <w:jc w:val="both"/>
      </w:pPr>
      <w:r>
        <w:rPr>
          <w:rFonts w:ascii="Times New Roman" w:hAnsi="Times New Roman" w:eastAsia="Times New Roman" w:cs="Times New Roman"/>
          <w:b w:val="0"/>
          <w:sz w:val="24"/>
        </w:rPr>
        <w:t>d. technical emergency access capabilities (Addressable)? [</w:t>
      </w:r>
      <w:r>
        <w:rPr>
          <w:rFonts w:ascii="Times New Roman" w:hAnsi="Times New Roman" w:eastAsia="Times New Roman" w:cs="Times New Roman"/>
          <w:b w:val="0"/>
          <w:sz w:val="24"/>
        </w:rPr>
        <w:t>Review with IS; as (c) and (d) are Addressable, determine whether any deficiencies are feasibly remediable. Define remedies or, absent feasibility, document why remedies aren’t currently feasible, amend Policy accordingly. As to encryption, see also 25, below. As to additional technical means; see 24, below.</w:t>
      </w:r>
      <w:r>
        <w:rPr>
          <w:rFonts w:ascii="Times New Roman" w:hAnsi="Times New Roman" w:eastAsia="Times New Roman" w:cs="Times New Roman"/>
          <w:b w:val="0"/>
          <w:sz w:val="24"/>
        </w:rPr>
        <w: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20. Has Covered Entity established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clearance procedure and required execution of non-disclosure agreements by employees? </w:t>
      </w:r>
      <w:r>
        <w:rPr>
          <w:rFonts w:ascii="Times New Roman" w:hAnsi="Times New Roman" w:eastAsia="Times New Roman" w:cs="Times New Roman"/>
          <w:b w:val="0"/>
          <w:sz w:val="24"/>
        </w:rPr>
        <w:t>[</w:t>
      </w:r>
      <w:r>
        <w:rPr>
          <w:rFonts w:ascii="Times New Roman" w:hAnsi="Times New Roman" w:eastAsia="Times New Roman" w:cs="Times New Roman"/>
          <w:b w:val="0"/>
          <w:sz w:val="24"/>
        </w:rPr>
        <w:t>Discuss with admin/HR professionals and ISPs; amend Policy and Employee Handbook as necessary.</w:t>
      </w:r>
      <w:r>
        <w:rPr>
          <w:rFonts w:ascii="Times New Roman" w:hAnsi="Times New Roman" w:eastAsia="Times New Roman" w:cs="Times New Roman"/>
          <w:b w:val="0"/>
          <w:sz w:val="24"/>
        </w:rPr>
        <w: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21. Does Covered Entity have procedures to retrieve physical items such as laptops, PDAs, and facility access items plus termination of access codes, passwords, fingerprint reader, etc. with respect to departing employees and contractors? </w:t>
      </w:r>
      <w:r>
        <w:rPr>
          <w:rFonts w:ascii="Times New Roman" w:hAnsi="Times New Roman" w:eastAsia="Times New Roman" w:cs="Times New Roman"/>
          <w:b w:val="0"/>
          <w:sz w:val="24"/>
        </w:rPr>
        <w:t>[</w:t>
      </w:r>
      <w:r>
        <w:rPr>
          <w:rFonts w:ascii="Times New Roman" w:hAnsi="Times New Roman" w:eastAsia="Times New Roman" w:cs="Times New Roman"/>
          <w:b w:val="0"/>
          <w:sz w:val="24"/>
        </w:rPr>
        <w:t>Amend Policy and Employee Handbook to state these policies if necessary.</w:t>
      </w:r>
      <w:r>
        <w:rPr>
          <w:rFonts w:ascii="Times New Roman" w:hAnsi="Times New Roman" w:eastAsia="Times New Roman" w:cs="Times New Roman"/>
          <w:b w:val="0"/>
          <w:sz w:val="24"/>
        </w:rPr>
        <w: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22. Has Covered Entity established audit control mechanisms to record and examine information system activity? </w:t>
      </w:r>
      <w:r>
        <w:rPr>
          <w:rFonts w:ascii="Times New Roman" w:hAnsi="Times New Roman" w:eastAsia="Times New Roman" w:cs="Times New Roman"/>
          <w:b w:val="0"/>
          <w:sz w:val="24"/>
        </w:rPr>
        <w:t>[</w:t>
      </w:r>
      <w:r>
        <w:rPr>
          <w:rFonts w:ascii="Times New Roman" w:hAnsi="Times New Roman" w:eastAsia="Times New Roman" w:cs="Times New Roman"/>
          <w:b w:val="0"/>
          <w:sz w:val="24"/>
        </w:rPr>
        <w:t>Discuss with IS; the requirement is to have the capability to record and examine system activity, and it is “scalable” based on the degree of risk.</w:t>
      </w:r>
      <w:r>
        <w:rPr>
          <w:rFonts w:ascii="Times New Roman" w:hAnsi="Times New Roman" w:eastAsia="Times New Roman" w:cs="Times New Roman"/>
          <w:b w:val="0"/>
          <w:sz w:val="24"/>
        </w:rPr>
        <w: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+23. Does Covered Entity have in place data authentication mechanisms such as error-correcting memory, magnetic disk storage and digital signatures. </w:t>
      </w:r>
      <w:r>
        <w:rPr>
          <w:rFonts w:ascii="Times New Roman" w:hAnsi="Times New Roman" w:eastAsia="Times New Roman" w:cs="Times New Roman"/>
          <w:b w:val="0"/>
          <w:sz w:val="24"/>
        </w:rPr>
        <w:t>[</w:t>
      </w:r>
      <w:r>
        <w:rPr>
          <w:rFonts w:ascii="Times New Roman" w:hAnsi="Times New Roman" w:eastAsia="Times New Roman" w:cs="Times New Roman"/>
          <w:b w:val="0"/>
          <w:sz w:val="24"/>
        </w:rPr>
        <w:t>Review with ISP; amend Policy accordingly.</w:t>
      </w:r>
      <w:r>
        <w:rPr>
          <w:rFonts w:ascii="Times New Roman" w:hAnsi="Times New Roman" w:eastAsia="Times New Roman" w:cs="Times New Roman"/>
          <w:b w:val="0"/>
          <w:sz w:val="24"/>
        </w:rPr>
        <w: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+24. Relatedly, does Covered Entity have entity authentication capability? Automatic logoff and unique user ID, discussed at 19, </w:t>
      </w:r>
      <w:r>
        <w:rPr>
          <w:rFonts w:ascii="Times New Roman" w:hAnsi="Times New Roman" w:eastAsia="Times New Roman" w:cs="Times New Roman"/>
          <w:b w:val="0"/>
          <w:sz w:val="24"/>
        </w:rPr>
        <w:t>above,</w:t>
      </w:r>
      <w:r>
        <w:rPr>
          <w:rFonts w:ascii="Times New Roman" w:hAnsi="Times New Roman" w:eastAsia="Times New Roman" w:cs="Times New Roman"/>
          <w:b w:val="0"/>
          <w:sz w:val="24"/>
        </w:rPr>
        <w:t xml:space="preserve"> are mandatory ISs. To achieve more pervasive entity ID, they may be combined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password system, telephone callback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token system. It is also important for the Covered Entity to practice password management by implementing procedures for creating, changing, and safeguarding any passwords.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w:t>
      </w:r>
      <w:r>
        <w:rPr>
          <w:rFonts w:ascii="Times New Roman" w:hAnsi="Times New Roman" w:eastAsia="Times New Roman" w:cs="Times New Roman"/>
          <w:b w:val="0"/>
          <w:sz w:val="24"/>
        </w:rPr>
        <w:t>Review with IS; amend Policy accordingly.</w:t>
      </w:r>
      <w:r>
        <w:rPr>
          <w:rFonts w:ascii="Times New Roman" w:hAnsi="Times New Roman" w:eastAsia="Times New Roman" w:cs="Times New Roman"/>
          <w:b w:val="0"/>
          <w:sz w:val="24"/>
        </w:rPr>
        <w: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+25. Does Covered Entity have technical means for transmission security when PHI is transmitted from one point to another over open networks, including techniques to guard against “malicious software” viruses? Are firewalls and anti-virus elements controlled at the server level? (This Addressable IS may include encryption, taking into account possible risk factors: for example, dial-up lines have small probability of interception.) </w:t>
      </w:r>
      <w:r>
        <w:rPr>
          <w:rFonts w:ascii="Times New Roman" w:hAnsi="Times New Roman" w:eastAsia="Times New Roman" w:cs="Times New Roman"/>
          <w:b w:val="0"/>
          <w:sz w:val="24"/>
        </w:rPr>
        <w:t>[</w:t>
      </w:r>
      <w:r>
        <w:rPr>
          <w:rFonts w:ascii="Times New Roman" w:hAnsi="Times New Roman" w:eastAsia="Times New Roman" w:cs="Times New Roman"/>
          <w:b w:val="0"/>
          <w:sz w:val="24"/>
        </w:rPr>
        <w:t>Discuss with IS; amend Policy accordingly.</w:t>
      </w:r>
      <w:r>
        <w:rPr>
          <w:rFonts w:ascii="Times New Roman" w:hAnsi="Times New Roman" w:eastAsia="Times New Roman" w:cs="Times New Roman"/>
          <w:b w:val="0"/>
          <w:sz w:val="24"/>
        </w:rPr>
        <w: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+26. Relatedly, are all log-ins tracked and log-in reports reviewed for potential security problems? </w:t>
      </w:r>
      <w:r>
        <w:rPr>
          <w:rFonts w:ascii="Times New Roman" w:hAnsi="Times New Roman" w:eastAsia="Times New Roman" w:cs="Times New Roman"/>
          <w:b w:val="0"/>
          <w:sz w:val="24"/>
        </w:rPr>
        <w:t>[</w:t>
      </w:r>
      <w:r>
        <w:rPr>
          <w:rFonts w:ascii="Times New Roman" w:hAnsi="Times New Roman" w:eastAsia="Times New Roman" w:cs="Times New Roman"/>
          <w:b w:val="0"/>
          <w:sz w:val="24"/>
        </w:rPr>
        <w:t>Amend Policy.</w:t>
      </w:r>
      <w:r>
        <w:rPr>
          <w:rFonts w:ascii="Times New Roman" w:hAnsi="Times New Roman" w:eastAsia="Times New Roman" w:cs="Times New Roman"/>
          <w:b w:val="0"/>
          <w:sz w:val="24"/>
        </w:rPr>
        <w: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+27. Relatedly, are logs maintained of repairs and modifications having impact on privacy/security? </w:t>
      </w:r>
      <w:r>
        <w:rPr>
          <w:rFonts w:ascii="Times New Roman" w:hAnsi="Times New Roman" w:eastAsia="Times New Roman" w:cs="Times New Roman"/>
          <w:b w:val="0"/>
          <w:sz w:val="24"/>
        </w:rPr>
        <w:t>[</w:t>
      </w:r>
      <w:r>
        <w:rPr>
          <w:rFonts w:ascii="Times New Roman" w:hAnsi="Times New Roman" w:eastAsia="Times New Roman" w:cs="Times New Roman"/>
          <w:b w:val="0"/>
          <w:sz w:val="24"/>
        </w:rPr>
        <w:t>Discuss with ISPs; amend Policy accordingly.</w:t>
      </w:r>
      <w:r>
        <w:rPr>
          <w:rFonts w:ascii="Times New Roman" w:hAnsi="Times New Roman" w:eastAsia="Times New Roman" w:cs="Times New Roman"/>
          <w:b w:val="0"/>
          <w:sz w:val="24"/>
        </w:rPr>
        <w: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+28. Does Covered Entity have policies and techniques to protect E-PHI from improper alteration or destruction?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w:t>
      </w:r>
      <w:r>
        <w:rPr>
          <w:rFonts w:ascii="Times New Roman" w:hAnsi="Times New Roman" w:eastAsia="Times New Roman" w:cs="Times New Roman"/>
          <w:b w:val="0"/>
          <w:sz w:val="24"/>
        </w:rPr>
        <w:t>Discuss with ISPs; ensure there is retention of the documentation required by HIPAA for 6 years from the date of its creation or the date when it last was in effect, whichever is later; amend Policy accordingly.</w:t>
      </w:r>
      <w:r>
        <w:rPr>
          <w:rFonts w:ascii="Times New Roman" w:hAnsi="Times New Roman" w:eastAsia="Times New Roman" w:cs="Times New Roman"/>
          <w:b w:val="0"/>
          <w:sz w:val="24"/>
        </w:rPr>
        <w:t>]</w:t>
      </w:r>
    </w:p>
    <w:p>
      <w:pPr>
        <w:keepNext w:val="0"/>
        <w:spacing w:before="200" w:after="0" w:line="260" w:lineRule="exact"/>
        <w:ind w:left="0" w:right="0" w:firstLine="0"/>
        <w:jc w:val="both"/>
      </w:pPr>
      <w:r>
        <w:rPr>
          <w:rFonts w:ascii="Times New Roman" w:hAnsi="Times New Roman" w:eastAsia="Times New Roman" w:cs="Times New Roman"/>
          <w:b w:val="0"/>
          <w:sz w:val="24"/>
        </w:rPr>
        <w:t>29. Has Covered Entity amended its Group Health Plans to provide for basic compliance elements of HIPAA Security? [</w:t>
      </w:r>
      <w:r>
        <w:rPr>
          <w:rFonts w:ascii="Times New Roman" w:hAnsi="Times New Roman" w:eastAsia="Times New Roman" w:cs="Times New Roman"/>
          <w:b w:val="0"/>
          <w:sz w:val="24"/>
        </w:rPr>
        <w:t>Has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Omnibus amendment been drafted? (See Vol. 68, FR, pp. 8359 and 8379). Template is provided, Form 50.03-2.</w:t>
      </w:r>
      <w:r>
        <w:rPr>
          <w:rFonts w:ascii="Times New Roman" w:hAnsi="Times New Roman" w:eastAsia="Times New Roman" w:cs="Times New Roman"/>
          <w:b w:val="0"/>
          <w:sz w:val="24"/>
        </w:rPr>
        <w:t>]</w:t>
      </w:r>
    </w:p>
    <w:p>
      <w:pPr>
        <w:keepNext w:val="0"/>
        <w:spacing w:before="200" w:after="0" w:line="260" w:lineRule="exact"/>
        <w:ind w:left="0" w:right="0" w:firstLine="0"/>
        <w:jc w:val="both"/>
      </w:pPr>
      <w:r>
        <w:rPr>
          <w:rFonts w:ascii="Times New Roman" w:hAnsi="Times New Roman" w:eastAsia="Times New Roman" w:cs="Times New Roman"/>
          <w:b w:val="0"/>
          <w:sz w:val="24"/>
        </w:rPr>
        <w:t>30. Does Covered Entity have polices and techniques to perform periodic technical and non-technical evaluations, based initially upon the standards implemented under HIPAA and subsequently, in response to environmental or operational changes affecting the security of E-PHI.</w:t>
      </w:r>
    </w:p>
    <w:p>
      <w:pPr/>
    </w:p>
    <w:p>
      <w:pPr>
        <w:keepNext w:val="0"/>
        <w:spacing w:before="120" w:after="0" w:line="220" w:lineRule="exact"/>
        <w:ind w:left="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Dunlap-Hanna Pennsylvania Forms</w:t>
      </w:r>
    </w:p>
    <w:p>
      <w:pPr>
        <w:keepNext w:val="0"/>
        <w:spacing w:after="0" w:line="220" w:lineRule="exact"/>
        <w:ind w:left="0" w:right="0" w:firstLine="0"/>
        <w:jc w:val="left"/>
      </w:pPr>
      <w:r>
        <w:rPr>
          <w:rFonts w:ascii="Times New Roman" w:hAnsi="Times New Roman" w:eastAsia="Times New Roman" w:cs="Times New Roman"/>
          <w:b w:val="0"/>
          <w:sz w:val="24"/>
        </w:rPr>
        <w:t xml:space="preserve">Copyright 2022,  Matthew Bender &amp; Company, Inc.,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LexisNexis Group.</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