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HVAC SUBCONTRACTOR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HVAC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r>
        <w:rPr>
          <w:rFonts w:ascii="Times New Roman" w:hAnsi="Times New Roman" w:eastAsia="Times New Roman" w:cs="Times New Roman"/>
          <w:sz w:val="24"/>
        </w:rPr>
        <w:t>[NAME OF 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(“Contractor”) and </w:t>
      </w:r>
      <w:r>
        <w:rPr>
          <w:rFonts w:ascii="Times New Roman" w:hAnsi="Times New Roman" w:eastAsia="Times New Roman" w:cs="Times New Roman"/>
          <w:sz w:val="24"/>
        </w:rPr>
        <w:t>[NAME OF SUBCONTRACTOR]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latest version agreement(s) (“Prime Contract”) made between the Contractor and </w:t>
      </w:r>
      <w:r>
        <w:rPr>
          <w:rFonts w:ascii="Times New Roman" w:hAnsi="Times New Roman" w:eastAsia="Times New Roman" w:cs="Times New Roman"/>
          <w:sz w:val="24"/>
        </w:rPr>
        <w:t>[NAME OF CLIENT]</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BEING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xml:space="preserve"> – Including, but not limited to, employees, subcontractors and any other individuals or agents.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xml:space="preserve"> – Including, but not limited to, all supplies and products.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xml:space="preserve"> – Including, but not limited to, machinery, accessories, or devices.</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xml:space="preserve"> – Including, but not limited to, ensuring that the above-mentioned Responsibilities are provided at the Location mentioned in Section V.</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(“Location”).\</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Determined at a later time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for the Services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 hour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basis. If the Subcontractor completes the Services to the satisfaction of the Contractor, before the full amount or balance has been fully paid, any remaining amount shall be payable immediately.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 xml:space="preserve">Coverage Types: </w:t>
      </w:r>
      <w:r>
        <w:rPr>
          <w:rFonts w:ascii="Times New Roman" w:hAnsi="Times New Roman" w:eastAsia="Times New Roman" w:cs="Times New Roman"/>
          <w:sz w:val="24"/>
        </w:rPr>
        <w:t>(</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Combined Single Limit: Bodily Injury + Property Damage;</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Personal Liability Injury;</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Aggregate for Products-Completed Operations; and</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Contractor may, at any time and for any reason, terminate Subcontractor’s Services hereunder at the Contractor’s convenience with at least ____ business day(s) notice. In the event of termination for convenience, Subcontractor shall recover only the actual cost of work completed to the date of termination, in approved units of work or percentage of completion, plus ____%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p>
    <w:p>
      <w:pPr/>
    </w:p>
    <w:p>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