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HAWAII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Hawaii,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15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non-compliance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NUISANCE</w:t>
      </w:r>
      <w:r>
        <w:rPr>
          <w:rFonts w:ascii="Times New Roman" w:hAnsi="Times New Roman" w:eastAsia="Times New Roman" w:cs="Times New Roman"/>
          <w:sz w:val="24"/>
        </w:rPr>
        <w:t xml:space="preserve">. Within 24 hours, you must resolve the following nuisance you have created at the property: </w:t>
      </w:r>
      <w:r>
        <w:rPr>
          <w:rFonts w:ascii="Times New Roman" w:hAnsi="Times New Roman" w:eastAsia="Times New Roman" w:cs="Times New Roman"/>
          <w:sz w:val="24"/>
        </w:rPr>
        <w:t>[DESCRIBE THE NUISANCE]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the nuisance is not resolved within 24 hours of receiving this notice, the landlord may terminate tenancy within 5 days of delivering a second, follow-up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45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