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INDIANA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[PRINCIPAL'S 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of  </w:t>
      </w:r>
      <w:r>
        <w:rPr>
          <w:rFonts w:ascii="Times New Roman" w:hAnsi="Times New Roman" w:eastAsia="Times New Roman" w:cs="Times New Roman"/>
          <w:sz w:val="24"/>
        </w:rPr>
        <w:t>[STREET ADDRESS OF ATTORNEY]</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b/>
          <w:sz w:val="24"/>
        </w:rPr>
        <w:t>[INITIAL]</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[LIST OTHER POWERS OF ATTORNEY]</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Indiana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[PRINCIPAL'S NAME]</w:t>
      </w: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 OF ATTORNEY-IN-FACT]</w:t>
      </w:r>
    </w:p>
    <w:p>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[WITNESS 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[WITNESS 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r>
    </w:p>
    <w:p>
      <w:pPr/>
      <w:r>
        <w:rPr>
          <w:rFonts w:ascii="Times New Roman" w:hAnsi="Times New Roman" w:eastAsia="Times New Roman" w:cs="Times New Roman"/>
          <w:sz w:val="24"/>
        </w:rPr>
        <w:tab/>
        <w:tab/>
        <w:tab/>
        <w:tab/>
        <w:tab/>
        <w:tab/>
      </w: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INDIANA</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Indiana Statute Title 30 – Article 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