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INDIANA</w:t>
      </w:r>
    </w:p>
    <w:p>
      <w:pPr>
        <w:jc w:val="center"/>
      </w:pPr>
      <w:r>
        <w:rPr>
          <w:rFonts w:ascii="Times New Roman" w:hAnsi="Times New Roman" w:eastAsia="Times New Roman" w:cs="Times New Roman"/>
          <w:b/>
          <w:sz w:val="24"/>
        </w:rPr>
        <w:t>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Indiana 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spacing w:before="0" w:after="0"/>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In the event of default by the Borrower, this Note shall be secured with</w:t>
      </w:r>
    </w:p>
    <w:p>
      <w:pPr/>
      <w:r>
        <w:rPr>
          <w:rFonts w:ascii="Times New Roman" w:hAnsi="Times New Roman" w:eastAsia="Times New Roman" w:cs="Times New Roman"/>
          <w:sz w:val="24"/>
        </w:rPr>
        <w:t xml:space="preserve">the following property: </w:t>
      </w:r>
      <w:r>
        <w:rPr>
          <w:rFonts w:ascii="Times New Roman" w:hAnsi="Times New Roman" w:eastAsia="Times New Roman" w:cs="Times New Roman"/>
          <w:sz w:val="24"/>
        </w:rPr>
        <w:t>[SECURITY DESCRIPTION]</w:t>
      </w:r>
      <w:r>
        <w:rPr>
          <w:rFonts w:ascii="Times New Roman" w:hAnsi="Times New Roman" w:eastAsia="Times New Roman" w:cs="Times New Roman"/>
          <w:sz w:val="24"/>
        </w:rPr>
        <w:t xml:space="preserve"> (“Security”).</w:t>
      </w:r>
    </w:p>
    <w:p>
      <w:pPr/>
    </w:p>
    <w:p>
      <w:pPr/>
      <w:r>
        <w:rPr>
          <w:rFonts w:ascii="Times New Roman" w:hAnsi="Times New Roman" w:eastAsia="Times New Roman" w:cs="Times New Roman"/>
          <w:sz w:val="24"/>
        </w:rPr>
        <w:t>The Security shall transfer to the possession and ownership of the Lender immediately pursuant to Section 11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 option to accept the Security as full 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Indiana.</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