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Initial Disclosures under  Fed. R. Civ. P. 26(</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INITIAL DISCLOSURES OF [DISCLOSING PARTY] PURSUANT TO FED. R. CIV. P. 26(</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[Disclosing Party] provides these Initial Disclosures 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 These disclosures are based on [Disclosing Party’s] preliminary understanding of the factual allegations and legal claims as set forth in the [Complaint/Answer]. [Disclosing Party] reserves the right to supplement or amend these disclosures, including pursuant to Fed. R. Civ. P. 26(e), after it discovers more details about such allegations and legal claims.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Individuals Likely to Have Discoverable Information That [Disclosing Party] May Use to Support its Claims or Defenses.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 [Disclosing Party] discloses the following individuals who are likely to have discoverable information that may be used to support [Disclosing Party’s] claims or defenses and the subjects of the information. [Disclosing Party] reserves the right to amend or supplement these disclosures, including as provided by Fed. R. Civ. P. 26(e). The following disclosures do not include witnesses who will be used solely for impeachment, rebuttal, or expert testimony, who will be disclosed in accordance with the schedule for disclosure of such witnesses set by the Court.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Documents and Things in [Disclosing Party’s] Possession, Custody, or Control That It May Use to Support Its Claims or Defenses.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)(ii), [Disclosing Party] hereby discloses the following categories of documents, electronically stored information and tangible things in its possession, custody or control that it may use to support its claims or defenses and the location of such categories of documents. [Disclosing Party] reserves the right to amend or supplement these disclosures as provided under Fed. R. Civ. P. 26(e). The following disclosures do not include documents and things that are likely to be offered solely for impeachment: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 of any Category of Damages Claimed and Disclosure of Supporting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)(iii), [Disclosing Party] discloses that it seeks actual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it has not yet determined, as well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attorneys’ fees, costs, and pre-judgment interest. [Disclosing Party’s] damages calculations will depend on the analysis and expert testimony of its damages expert,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damages expert report will be provided according to the schedule set by the court. [Disclosing Party] further responds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this time and without complete information about the accused product or the quantity and dollar value of the sales of the accused product sufficient to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damages calculation or estimate, and without having yet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investigation and analysis of royalty rates in the industry and other pertinent Georgia-Pacific factors, [Disclosing Party] discloses that pursuant to 35 U.S.C. § 284 it will,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seek actual damages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royalty of [percentage or percentage range] percent of [royalty base, e.g., net sales of accused product]. The royalty calculation will be based in part on confidential documents that will be made available for inspection and copying at the office of the undersigned counsel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date and time after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this time and without complete information about the accused product, the quantity and dollar value of the sales of the accused product, the marketing and sales of the accused product, the customers to whom the accused product was offered for sale and sold, and the prices at which the accused product was offered for sale and sold, and without having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economic analysis on damages, [Disclosing Party] discloses that it will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actual damages based in whole or in part on lost profits from lost sales and/or price erosion. The lost profits calculation will be based in part on confidential documents that will be made available for inspection and copying at the office of the undersigned counsel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date and time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Insurance Agreements Liable for Part or All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Judgment or for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)(iv), [Disclosing Party] discloses that it has not identified any insurance agreement(s) that may cover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entered against it or that may indemnify or reimburse it for payments that satisfy any such judgment.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