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Investor Representation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To: [Issuer’s name]</w:t>
      </w:r>
    </w:p>
    <w:p>
      <w:pPr>
        <w:keepNext w:val="0"/>
        <w:spacing w:before="200" w:after="0" w:line="260" w:lineRule="exact"/>
        <w:ind w:left="36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w:t>
      </w:r>
    </w:p>
    <w:p>
      <w:pPr>
        <w:keepNext w:val="0"/>
        <w:spacing w:before="120" w:after="0" w:line="260" w:lineRule="exact"/>
        <w:ind w:left="360" w:right="0" w:firstLine="0"/>
        <w:jc w:val="left"/>
      </w:pPr>
      <w:r>
        <w:rPr>
          <w:rFonts w:ascii="Times New Roman" w:hAnsi="Times New Roman" w:eastAsia="Times New Roman" w:cs="Times New Roman"/>
          <w:b/>
          <w:sz w:val="24"/>
        </w:rPr>
        <w:t>Purchaser's Representations Concerning Suitability and Investment Intent</w:t>
      </w:r>
    </w:p>
    <w:p>
      <w:pPr>
        <w:keepNext w:val="0"/>
        <w:spacing w:before="200" w:after="0" w:line="260" w:lineRule="exact"/>
        <w:ind w:left="720" w:right="0" w:firstLine="0"/>
        <w:jc w:val="both"/>
      </w:pPr>
      <w:r>
        <w:rPr>
          <w:rFonts w:ascii="Times New Roman" w:hAnsi="Times New Roman" w:eastAsia="Times New Roman" w:cs="Times New Roman"/>
          <w:b w:val="0"/>
          <w:sz w:val="24"/>
        </w:rPr>
        <w:t>In connection with the undersigned's purchase of [description of securities, e.g., 100 common shares] of [Name of issuer] (the "Issuer"), the undersigned represents that the following categories are applicable to the undersigned: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w:t>
        <w:tab/>
      </w:r>
      <w:r>
        <w:rPr>
          <w:rFonts w:ascii="Times New Roman" w:hAnsi="Times New Roman" w:eastAsia="Times New Roman" w:cs="Times New Roman"/>
          <w:b/>
          <w:sz w:val="24"/>
        </w:rPr>
        <w:t>A</w:t>
      </w: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the Issuer (if the Issuer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the Issuer (if the Issuer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who exercises managerial functions with respect to those entities; and any officer, director or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the Issuer (if the Issuer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w:t>
        <w:tab/>
        <w:t>B.</w:t>
        <w:tab/>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occupies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with the Issuer, 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the Issuer (if the Issuer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with duties and authority substantially similar to those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w:t>
        <w:tab/>
        <w:t>C.</w:t>
        <w:tab/>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spouse or relative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who has the same principal residence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of securities of the Issuer who qualifies under one of the other categories listed in this letter. "Relative"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by blood, marriage or adoption.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w:t>
        <w:tab/>
        <w:t>D.</w:t>
        <w:tab/>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has, whether alone or in conjunction with others, taken the initiative in founding and organizing the business or enterprise of the Issuer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"promoter" under subsection (f) of Section 260.102.12 of Title 10 of the California Code of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w:t>
        <w:tab/>
        <w:t>E.</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purchasing $150,000 or more of the securities offered in the transaction, provided that: (1) That person, or that person's professional advisor, has the capacity to protect such person's own interests in connection with the transaction, as provided in California Corporations Code Section 25102(f)(2); or (2) The investment (including mandatory assessments) does not exceed 10% of that person's net worth or joint net worth with that person's spouse.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w:t>
        <w:tab/>
        <w:t>F.</w:t>
        <w:tab/>
        <w:t xml:space="preserve">If the security being offered is one class of voting common stock of the Issuer, or preferred stock entitling holder to at least the same voting rights as the Issuer's one class of voting common stock, provided that the Issuer will have only one class of voting common stock outstanding upon consummation of the offer and sale: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 either individually or jointly with his or her spouse,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net worth of $250,000 (exclusive of home, home furnishings, and automobiles) and had, during the immediately preceding tax year, gross income in excess of $100,000 and reasonably expects gross income in excess of $100,000 during the current tax year, and (b) whose net worth, as determined by this paragraph, is at least 10 times the amount of his or her investment in the Issuer.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w:t>
        <w:tab/>
        <w:t>G.</w:t>
        <w:tab/>
        <w:t xml:space="preserve">If the security being offered is one class of voting common stock of the Issuer, or preferred stock entitling holder to at least the same voting rights as the Issuer's one class of voting common stock, provided that the Issuer will have only one class of voting common stock outstanding upon consummation of the offer and sale: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 either individually or jointly with his or her spouse,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net worth of $500,000 (exclusive of home, home furnishings, and automobiles), and (b) whose net worth, as determined by this paragraph, is at least 10 times the amount of his or her investment in the Issuer.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w:t>
        <w:tab/>
        <w:t>H.</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comes within one of the following categories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of Regulation D adopted by the Securities and Exchange Commission (the “SEC”) under the Securities Act of 1933, as amended (the “Securities Act”):</w:t>
      </w:r>
    </w:p>
    <w:p>
      <w:pPr>
        <w:keepNext w:val="0"/>
        <w:spacing w:before="200" w:after="0" w:line="260" w:lineRule="exact"/>
        <w:ind w:left="1800" w:right="0" w:firstLine="0"/>
        <w:jc w:val="both"/>
      </w:pPr>
      <w:r>
        <w:rPr>
          <w:rFonts w:ascii="Times New Roman" w:hAnsi="Times New Roman" w:eastAsia="Times New Roman" w:cs="Times New Roman"/>
          <w:b w:val="0"/>
          <w:sz w:val="24"/>
        </w:rPr>
        <w:t>(Check the appropriate box or boxes):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 </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executive officer, or general partner of the Issuer, or any director, executive officer, or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the Issuer.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 </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whose individual net worth, or joint net worth with their spouse or spousal equivalent, excluding the value of their primary residence, at the time of purchase exceeds $1,000,000.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 </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income in excess of $200,000 in each of the two most recent years or joint income with their spouse in excess of $300,000 in each of those years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expectation of reaching the same income level in the current year.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 </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who holds in good standing one or more professional certifications or designations or credentials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educational institution that the SEC has designated as qualifying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for accredited investor status.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further represents to the Issuer that the undersigned is purchasing these securities for investment for the undersigned's own account [or specify trust account if purchaser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security. The undersigned understands that these securities have not been qualified under the California Corporate Securities Law or registered under the federal Securities Act of 1933, as amended, and further understands that any resale or other transfer of these securities may require qualification and/or registration under the above statutes.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understands that the Issuer will use the representations in this letter to qualify prospective investors for purposes of federal and state securities laws. The undersigned further understands that the Issuer may present this letter to such parties as it deems appropriate to establish the availability of exemptions from registration under state and federal securities laws.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