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240"/>
        <w:jc w:val="center"/>
      </w:pPr>
      <w:r>
        <w:rPr>
          <w:rFonts w:ascii="Times New Roman" w:hAnsi="Times New Roman" w:eastAsia="Times New Roman" w:cs="Times New Roman"/>
          <w:b/>
          <w:sz w:val="24"/>
        </w:rPr>
        <w:t>KANSAS ESTATE PLANNING CHECKLIST</w:t>
      </w:r>
    </w:p>
    <w:p>
      <w:pPr>
        <w:spacing w:before="0" w:after="240"/>
      </w:pPr>
      <w:r>
        <w:rPr>
          <w:rFonts w:ascii="Times New Roman" w:hAnsi="Times New Roman" w:eastAsia="Times New Roman" w:cs="Times New Roman"/>
          <w:sz w:val="24"/>
        </w:rPr>
        <w:t>Residents of Kansas can follow the step-by-step guide provided below to create a good foundation for preparing for end-of-life care and the management of their affairs. Although there are many options for end-of-life planning, the legal instruments described below provide a solid foundation for making these plans. It is recommended that individuals consult a professional attorney before executing any of these documents.</w:t>
      </w:r>
    </w:p>
    <w:p>
      <w:pPr>
        <w:spacing w:before="240" w:after="48" w:line="360" w:lineRule="exact"/>
      </w:pPr>
      <w:r>
        <w:rPr>
          <w:rFonts w:ascii="Times New Roman" w:hAnsi="Times New Roman" w:eastAsia="Times New Roman" w:cs="Times New Roman"/>
          <w:b/>
          <w:sz w:val="24"/>
        </w:rPr>
        <w:t>Step 1 – Select a Health Care Agent</w:t>
      </w:r>
    </w:p>
    <w:p>
      <w:pPr>
        <w:spacing w:before="0" w:after="240"/>
      </w:pP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health care agent </w:t>
      </w:r>
      <w:r>
        <w:rPr>
          <w:rFonts w:ascii="Times New Roman" w:hAnsi="Times New Roman" w:eastAsia="Times New Roman" w:cs="Times New Roman"/>
          <w:sz w:val="24"/>
        </w:rPr>
        <w:t>is an individual who has been appointed by another individual (the principal) to make health care decisions on the principal’s behalf in the event that they become unable to communicate or make conscious decisions. This individual must be at least eighteen (18) years of age and cannot be related to the principal.</w:t>
      </w:r>
    </w:p>
    <w:p>
      <w:pPr>
        <w:spacing w:before="0" w:after="240"/>
      </w:pPr>
      <w:r>
        <w:rPr>
          <w:rFonts w:ascii="Times New Roman" w:hAnsi="Times New Roman" w:eastAsia="Times New Roman" w:cs="Times New Roman"/>
          <w:sz w:val="24"/>
        </w:rPr>
        <w:t>Health Care Power of Attorney</w:t>
      </w:r>
      <w:r>
        <w:rPr>
          <w:rFonts w:ascii="Times New Roman" w:hAnsi="Times New Roman" w:eastAsia="Times New Roman" w:cs="Times New Roman"/>
          <w:sz w:val="24"/>
        </w:rPr>
        <w:t xml:space="preserve"> – The Health Care Power of Attorney form must be completed in order for the principal to appoint a health care agent. The agent only assumes this authority in the event of the principal’s incapacity (as determined by a health care practitioner). On this document, the principal can specify the types of medical care that they wish to allow or prohibit.</w:t>
      </w:r>
    </w:p>
    <w:p>
      <w:pPr>
        <w:spacing w:before="280" w:after="280" w:line="300" w:lineRule="exact"/>
        <w:ind w:hanging="360"/>
      </w:pPr>
      <w:r>
        <w:rPr>
          <w:rFonts w:ascii="Times New Roman" w:hAnsi="Times New Roman" w:eastAsia="Times New Roman" w:cs="Times New Roman"/>
          <w:sz w:val="24"/>
        </w:rPr>
        <w:t>Signing Requirements</w:t>
      </w:r>
      <w:r>
        <w:rPr>
          <w:rFonts w:ascii="Times New Roman" w:hAnsi="Times New Roman" w:eastAsia="Times New Roman" w:cs="Times New Roman"/>
          <w:sz w:val="24"/>
        </w:rPr>
        <w:t xml:space="preserve"> (</w:t>
      </w:r>
      <w:r>
        <w:rPr>
          <w:rFonts w:ascii="Times New Roman" w:hAnsi="Times New Roman" w:eastAsia="Times New Roman" w:cs="Times New Roman"/>
          <w:sz w:val="24"/>
        </w:rPr>
        <w:t>§ 58-632</w:t>
      </w:r>
      <w:r>
        <w:rPr>
          <w:rFonts w:ascii="Times New Roman" w:hAnsi="Times New Roman" w:eastAsia="Times New Roman" w:cs="Times New Roman"/>
          <w:sz w:val="24"/>
        </w:rPr>
        <w:t>) – Must be acknowledged by a notary public or witnessed by two (2) unconcerned adults (not family members or financially connected to the principal).</w:t>
      </w:r>
    </w:p>
    <w:p>
      <w:pPr>
        <w:spacing w:before="240" w:after="48" w:line="360" w:lineRule="exact"/>
      </w:pPr>
      <w:r>
        <w:rPr>
          <w:rFonts w:ascii="Times New Roman" w:hAnsi="Times New Roman" w:eastAsia="Times New Roman" w:cs="Times New Roman"/>
          <w:b/>
          <w:sz w:val="24"/>
        </w:rPr>
        <w:t>Step 2 – Select a Financial Agent</w:t>
      </w:r>
    </w:p>
    <w:p>
      <w:pPr>
        <w:spacing w:before="0" w:after="240"/>
      </w:pP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financial agent </w:t>
      </w:r>
      <w:r>
        <w:rPr>
          <w:rFonts w:ascii="Times New Roman" w:hAnsi="Times New Roman" w:eastAsia="Times New Roman" w:cs="Times New Roman"/>
          <w:sz w:val="24"/>
        </w:rPr>
        <w:t>is someone who has been given the authority to execute financial and legal documents on behalf of another individual (the principal). In the event that the principal has lost decisional capacity, the agent will be able to execute instruments and generally oversee the principal’s property and assets. The principal will be able to determine exactly what powers they wish to allow their agent and whether the agent will have the authority to act as their agent immediately or only if the principal becomes incapacitated.</w:t>
      </w:r>
    </w:p>
    <w:p>
      <w:pPr>
        <w:spacing w:before="0" w:after="240"/>
      </w:pPr>
      <w:r>
        <w:rPr>
          <w:rFonts w:ascii="Times New Roman" w:hAnsi="Times New Roman" w:eastAsia="Times New Roman" w:cs="Times New Roman"/>
          <w:sz w:val="24"/>
        </w:rPr>
        <w:t>Durable Power of Attorney</w:t>
      </w:r>
      <w:r>
        <w:rPr>
          <w:rFonts w:ascii="Times New Roman" w:hAnsi="Times New Roman" w:eastAsia="Times New Roman" w:cs="Times New Roman"/>
          <w:sz w:val="24"/>
        </w:rPr>
        <w:t xml:space="preserve"> – To appoint a financial agent, the principal must complete and sign this form. A “durable” power of attorney means that the principal’s agent will be able to act on their behalf even in the event of the principal’s incapacitation.</w:t>
      </w:r>
    </w:p>
    <w:p>
      <w:pPr>
        <w:spacing w:before="280" w:after="280" w:line="300" w:lineRule="exact"/>
        <w:ind w:hanging="360"/>
      </w:pPr>
      <w:r>
        <w:rPr>
          <w:rFonts w:ascii="Times New Roman" w:hAnsi="Times New Roman" w:eastAsia="Times New Roman" w:cs="Times New Roman"/>
          <w:sz w:val="24"/>
        </w:rPr>
        <w:t>Signing Requirements</w:t>
      </w:r>
      <w:r>
        <w:rPr>
          <w:rFonts w:ascii="Times New Roman" w:hAnsi="Times New Roman" w:eastAsia="Times New Roman" w:cs="Times New Roman"/>
          <w:sz w:val="24"/>
        </w:rPr>
        <w:t xml:space="preserve"> (</w:t>
      </w:r>
      <w:r>
        <w:rPr>
          <w:rFonts w:ascii="Times New Roman" w:hAnsi="Times New Roman" w:eastAsia="Times New Roman" w:cs="Times New Roman"/>
          <w:sz w:val="24"/>
        </w:rPr>
        <w:t>§ 58-652</w:t>
      </w:r>
      <w:r>
        <w:rPr>
          <w:rFonts w:ascii="Times New Roman" w:hAnsi="Times New Roman" w:eastAsia="Times New Roman" w:cs="Times New Roman"/>
          <w:sz w:val="24"/>
        </w:rPr>
        <w:t>) – Required to be signed by the principal (or their representative) in the presence of a Notary Public, who must also sign.</w:t>
      </w:r>
    </w:p>
    <w:p>
      <w:pPr>
        <w:spacing w:before="0" w:after="240"/>
      </w:pPr>
      <w:r>
        <w:rPr>
          <w:rFonts w:ascii="Times New Roman" w:hAnsi="Times New Roman" w:eastAsia="Times New Roman" w:cs="Times New Roman"/>
          <w:sz w:val="24"/>
        </w:rPr>
        <w:t>Financial Powers Allowed:</w:t>
      </w:r>
    </w:p>
    <w:p>
      <w:pPr>
        <w:spacing w:before="280" w:after="0" w:line="300" w:lineRule="exact"/>
        <w:ind w:hanging="360"/>
      </w:pPr>
      <w:r>
        <w:rPr>
          <w:rFonts w:ascii="Times New Roman" w:hAnsi="Times New Roman" w:eastAsia="Times New Roman" w:cs="Times New Roman"/>
          <w:sz w:val="24"/>
        </w:rPr>
        <w:t>To execute, amend or revoke any trust agreement;</w:t>
      </w:r>
    </w:p>
    <w:p>
      <w:pPr>
        <w:spacing w:before="0" w:after="0" w:line="300" w:lineRule="exact"/>
        <w:ind w:hanging="360"/>
      </w:pPr>
      <w:r>
        <w:rPr>
          <w:rFonts w:ascii="Times New Roman" w:hAnsi="Times New Roman" w:eastAsia="Times New Roman" w:cs="Times New Roman"/>
          <w:sz w:val="24"/>
        </w:rPr>
        <w:t>To fund with the principal’s assets any trust not created by the principal;</w:t>
      </w:r>
    </w:p>
    <w:p>
      <w:pPr>
        <w:spacing w:before="0" w:after="0" w:line="300" w:lineRule="exact"/>
        <w:ind w:hanging="360"/>
      </w:pPr>
      <w:r>
        <w:rPr>
          <w:rFonts w:ascii="Times New Roman" w:hAnsi="Times New Roman" w:eastAsia="Times New Roman" w:cs="Times New Roman"/>
          <w:sz w:val="24"/>
        </w:rPr>
        <w:t>To make or revoke a gift of the principal’s property in trust or otherwise;</w:t>
        <w:br/>
        <w:t>To disclaim a gift or devise of property to or for the benefit of the principal;</w:t>
      </w:r>
    </w:p>
    <w:p>
      <w:pPr>
        <w:spacing w:before="0" w:after="0" w:line="300" w:lineRule="exact"/>
        <w:ind w:hanging="360"/>
      </w:pPr>
      <w:r>
        <w:rPr>
          <w:rFonts w:ascii="Times New Roman" w:hAnsi="Times New Roman" w:eastAsia="Times New Roman" w:cs="Times New Roman"/>
          <w:sz w:val="24"/>
        </w:rPr>
        <w:t>To create or change survivorship interests in the principal’s property or in property in which the principal may have an interest. The inclusion of the authority set out in this paragraph shall not be necessary in order to grant to an attorney in fact acting under a power of attorney granting general powers with respect to all lawful subjects and purposes the authority to withdraw funds or other property from any account, contract or other similar arrangement held in the names of the principal and one or more other persons with any financial institution, brokerage company or other depository to the same extent that the principal would be authorized to do if the principal were present, not disabled and seeking to act in the principal’s own behalf;</w:t>
      </w:r>
    </w:p>
    <w:p>
      <w:pPr>
        <w:spacing w:before="0" w:after="0" w:line="300" w:lineRule="exact"/>
        <w:ind w:hanging="360"/>
      </w:pPr>
      <w:r>
        <w:rPr>
          <w:rFonts w:ascii="Times New Roman" w:hAnsi="Times New Roman" w:eastAsia="Times New Roman" w:cs="Times New Roman"/>
          <w:sz w:val="24"/>
        </w:rPr>
        <w:t>To designate or change the designation of beneficiaries to receive any property, benefit or contract right on the principal’s death;</w:t>
      </w:r>
    </w:p>
    <w:p>
      <w:pPr>
        <w:spacing w:before="0" w:after="0" w:line="300" w:lineRule="exact"/>
        <w:ind w:hanging="360"/>
      </w:pPr>
      <w:r>
        <w:rPr>
          <w:rFonts w:ascii="Times New Roman" w:hAnsi="Times New Roman" w:eastAsia="Times New Roman" w:cs="Times New Roman"/>
          <w:sz w:val="24"/>
        </w:rPr>
        <w:t>To give or withhold consent to an autopsy or postmortem examination;</w:t>
      </w:r>
    </w:p>
    <w:p>
      <w:pPr>
        <w:spacing w:before="0" w:after="0" w:line="300" w:lineRule="exact"/>
        <w:ind w:hanging="360"/>
      </w:pPr>
      <w:r>
        <w:rPr>
          <w:rFonts w:ascii="Times New Roman" w:hAnsi="Times New Roman" w:eastAsia="Times New Roman" w:cs="Times New Roman"/>
          <w:sz w:val="24"/>
        </w:rPr>
        <w:t>To make a gift of, or decline to make a gift of, the principal’s body parts under the revised uniform anatomical gift act;</w:t>
      </w:r>
    </w:p>
    <w:p>
      <w:pPr>
        <w:spacing w:before="0" w:after="0" w:line="300" w:lineRule="exact"/>
        <w:ind w:hanging="360"/>
      </w:pPr>
      <w:r>
        <w:rPr>
          <w:rFonts w:ascii="Times New Roman" w:hAnsi="Times New Roman" w:eastAsia="Times New Roman" w:cs="Times New Roman"/>
          <w:sz w:val="24"/>
        </w:rPr>
        <w:t>To nominate a guardian or conservator for the principal; and if so stated in the power of attorney, the attorney-in-fact may nominate such attorney in fact’s self as such;</w:t>
      </w:r>
    </w:p>
    <w:p>
      <w:pPr>
        <w:spacing w:before="0" w:after="0" w:line="300" w:lineRule="exact"/>
        <w:ind w:hanging="360"/>
      </w:pPr>
      <w:r>
        <w:rPr>
          <w:rFonts w:ascii="Times New Roman" w:hAnsi="Times New Roman" w:eastAsia="Times New Roman" w:cs="Times New Roman"/>
          <w:sz w:val="24"/>
        </w:rPr>
        <w:t>To give consent on behalf of the principal to the sale, gift, transfer, mortgage or other alienation of the principal’s homestead or interest therein;</w:t>
      </w:r>
    </w:p>
    <w:p>
      <w:pPr>
        <w:spacing w:before="0" w:after="0" w:line="300" w:lineRule="exact"/>
        <w:ind w:hanging="360"/>
      </w:pPr>
      <w:r>
        <w:rPr>
          <w:rFonts w:ascii="Times New Roman" w:hAnsi="Times New Roman" w:eastAsia="Times New Roman" w:cs="Times New Roman"/>
          <w:sz w:val="24"/>
        </w:rPr>
        <w:t>To designate one or more substitute or successor or additional attorneys in fact;</w:t>
      </w:r>
    </w:p>
    <w:p>
      <w:pPr>
        <w:spacing w:before="0" w:after="0" w:line="300" w:lineRule="exact"/>
        <w:ind w:hanging="360"/>
      </w:pPr>
      <w:r>
        <w:rPr>
          <w:rFonts w:ascii="Times New Roman" w:hAnsi="Times New Roman" w:eastAsia="Times New Roman" w:cs="Times New Roman"/>
          <w:sz w:val="24"/>
        </w:rPr>
        <w:t>To delegate any or all powers granted in a power of attorney pursuant to subsection (a) of K.S.A. 58-660, and amendments thereto;</w:t>
      </w:r>
    </w:p>
    <w:p>
      <w:pPr>
        <w:spacing w:before="0" w:after="280" w:line="300" w:lineRule="exact"/>
        <w:ind w:hanging="360"/>
      </w:pPr>
      <w:r>
        <w:rPr>
          <w:rFonts w:ascii="Times New Roman" w:hAnsi="Times New Roman" w:eastAsia="Times New Roman" w:cs="Times New Roman"/>
          <w:sz w:val="24"/>
        </w:rPr>
        <w:t>To pay reasonable expenses incurred for the funeral and burial or other disposition of the body of the principal.</w:t>
      </w:r>
    </w:p>
    <w:p>
      <w:pPr>
        <w:spacing w:before="240" w:after="48" w:line="360" w:lineRule="exact"/>
      </w:pPr>
      <w:r>
        <w:rPr>
          <w:rFonts w:ascii="Times New Roman" w:hAnsi="Times New Roman" w:eastAsia="Times New Roman" w:cs="Times New Roman"/>
          <w:b/>
          <w:sz w:val="24"/>
        </w:rPr>
        <w:t>Step 3 – Make a List of All Estate Items</w:t>
      </w:r>
    </w:p>
    <w:p>
      <w:pPr>
        <w:spacing w:before="0" w:after="240"/>
      </w:pPr>
      <w:r>
        <w:rPr>
          <w:rFonts w:ascii="Times New Roman" w:hAnsi="Times New Roman" w:eastAsia="Times New Roman" w:cs="Times New Roman"/>
          <w:sz w:val="24"/>
        </w:rPr>
        <w:t xml:space="preserve">Before an individual decides how to distribute their property, they should make an organized list of all the real estate, financial holdings, bank accounts, and personal property currently in their possession (the </w:t>
      </w:r>
      <w:r>
        <w:rPr>
          <w:rFonts w:ascii="Times New Roman" w:hAnsi="Times New Roman" w:eastAsia="Times New Roman" w:cs="Times New Roman"/>
          <w:sz w:val="24"/>
        </w:rPr>
        <w:t>Current Assets List</w:t>
      </w:r>
      <w:r>
        <w:rPr>
          <w:rFonts w:ascii="Times New Roman" w:hAnsi="Times New Roman" w:eastAsia="Times New Roman" w:cs="Times New Roman"/>
          <w:sz w:val="24"/>
        </w:rPr>
        <w:t xml:space="preserve"> form can be used to accomplish this). By listing all the individual’s assets by category, it will be easier to decide how the assets will be divided. Furthermore, this step helps ensure that all of the individual’s property is included in their estate management.</w:t>
      </w:r>
    </w:p>
    <w:p>
      <w:pPr>
        <w:spacing w:before="240" w:after="48" w:line="360" w:lineRule="exact"/>
      </w:pPr>
      <w:r>
        <w:rPr>
          <w:rFonts w:ascii="Times New Roman" w:hAnsi="Times New Roman" w:eastAsia="Times New Roman" w:cs="Times New Roman"/>
          <w:b/>
          <w:sz w:val="24"/>
        </w:rPr>
        <w:t>Step 4 – Designate Beneficiaries and Other Roles</w:t>
      </w:r>
    </w:p>
    <w:p>
      <w:pPr>
        <w:spacing w:before="0" w:after="240"/>
      </w:pPr>
      <w:r>
        <w:rPr>
          <w:rFonts w:ascii="Times New Roman" w:hAnsi="Times New Roman" w:eastAsia="Times New Roman" w:cs="Times New Roman"/>
          <w:sz w:val="24"/>
        </w:rPr>
        <w:t>The principal (the grantor/settlor) will need to assign beneficiaries and nominate the individuals necessary to complete the transfer of one’s estate. For a Will, the settlor will need to appoint a representative and for a Living Trust, at least one (1) Trustee must be named to administrate their estate. The beneficiaries will be the recipients of the principal’s estate and it is recommended that they be informed that they’re named in the Will/Trust.</w:t>
      </w:r>
    </w:p>
    <w:p>
      <w:pPr>
        <w:spacing w:before="240" w:after="48" w:line="360" w:lineRule="exact"/>
      </w:pPr>
      <w:r>
        <w:rPr>
          <w:rFonts w:ascii="Times New Roman" w:hAnsi="Times New Roman" w:eastAsia="Times New Roman" w:cs="Times New Roman"/>
          <w:b/>
          <w:sz w:val="24"/>
        </w:rPr>
        <w:t>Step 5 – Execute Estate Transfer Documents</w:t>
      </w:r>
    </w:p>
    <w:p>
      <w:pPr>
        <w:spacing w:before="0" w:after="240"/>
      </w:pPr>
      <w:r>
        <w:rPr>
          <w:rFonts w:ascii="Times New Roman" w:hAnsi="Times New Roman" w:eastAsia="Times New Roman" w:cs="Times New Roman"/>
          <w:sz w:val="24"/>
        </w:rPr>
        <w:t xml:space="preserve">There are </w:t>
      </w:r>
      <w:r>
        <w:rPr>
          <w:rFonts w:ascii="Times New Roman" w:hAnsi="Times New Roman" w:eastAsia="Times New Roman" w:cs="Times New Roman"/>
          <w:sz w:val="24"/>
        </w:rPr>
        <w:t xml:space="preserve">two (2) options </w:t>
      </w:r>
      <w:r>
        <w:rPr>
          <w:rFonts w:ascii="Times New Roman" w:hAnsi="Times New Roman" w:eastAsia="Times New Roman" w:cs="Times New Roman"/>
          <w:sz w:val="24"/>
        </w:rPr>
        <w:t>that an individual may elect to choose when planning the distribution of their estate:</w:t>
      </w:r>
    </w:p>
    <w:p>
      <w:pPr>
        <w:spacing w:before="0" w:after="240"/>
      </w:pPr>
      <w:r>
        <w:rPr>
          <w:rFonts w:ascii="Times New Roman" w:hAnsi="Times New Roman" w:eastAsia="Times New Roman" w:cs="Times New Roman"/>
          <w:sz w:val="24"/>
        </w:rPr>
        <w:t xml:space="preserve">The </w:t>
      </w:r>
      <w:r>
        <w:rPr>
          <w:rFonts w:ascii="Times New Roman" w:hAnsi="Times New Roman" w:eastAsia="Times New Roman" w:cs="Times New Roman"/>
          <w:sz w:val="24"/>
        </w:rPr>
        <w:t>Last Will and Testament</w:t>
      </w:r>
      <w:r>
        <w:rPr>
          <w:rFonts w:ascii="Times New Roman" w:hAnsi="Times New Roman" w:eastAsia="Times New Roman" w:cs="Times New Roman"/>
          <w:sz w:val="24"/>
        </w:rPr>
        <w:t xml:space="preserve"> is the most commonly employed option for divesting an estate as it allows an individual to leave specific instruction on how their estate and other personal matters should be dealt with when they die. Before the estate is divided, the Will must be proven in probate court.</w:t>
      </w:r>
    </w:p>
    <w:p>
      <w:pPr>
        <w:spacing w:before="280" w:after="280" w:line="300" w:lineRule="exact"/>
        <w:ind w:hanging="360"/>
      </w:pPr>
      <w:r>
        <w:rPr>
          <w:rFonts w:ascii="Times New Roman" w:hAnsi="Times New Roman" w:eastAsia="Times New Roman" w:cs="Times New Roman"/>
          <w:sz w:val="24"/>
        </w:rPr>
        <w:t>Signing Requirements</w:t>
      </w:r>
      <w:r>
        <w:rPr>
          <w:rFonts w:ascii="Times New Roman" w:hAnsi="Times New Roman" w:eastAsia="Times New Roman" w:cs="Times New Roman"/>
          <w:sz w:val="24"/>
        </w:rPr>
        <w:t xml:space="preserve"> (</w:t>
      </w:r>
      <w:r>
        <w:rPr>
          <w:rFonts w:ascii="Times New Roman" w:hAnsi="Times New Roman" w:eastAsia="Times New Roman" w:cs="Times New Roman"/>
          <w:sz w:val="24"/>
        </w:rPr>
        <w:t>§ 59-606</w:t>
      </w:r>
      <w:r>
        <w:rPr>
          <w:rFonts w:ascii="Times New Roman" w:hAnsi="Times New Roman" w:eastAsia="Times New Roman" w:cs="Times New Roman"/>
          <w:sz w:val="24"/>
        </w:rPr>
        <w:t>) – Required to be signed by the principal (settlor), two (2) witnesses, and a Notary Public.</w:t>
      </w:r>
    </w:p>
    <w:p>
      <w:pPr>
        <w:spacing w:before="0" w:after="240"/>
      </w:pPr>
      <w:r>
        <w:rPr>
          <w:rFonts w:ascii="Times New Roman" w:hAnsi="Times New Roman" w:eastAsia="Times New Roman" w:cs="Times New Roman"/>
          <w:sz w:val="24"/>
        </w:rPr>
        <w:t xml:space="preserve">In a </w:t>
      </w:r>
      <w:r>
        <w:rPr>
          <w:rFonts w:ascii="Times New Roman" w:hAnsi="Times New Roman" w:eastAsia="Times New Roman" w:cs="Times New Roman"/>
          <w:sz w:val="24"/>
        </w:rPr>
        <w:t>Revocable Living Trust</w:t>
      </w:r>
      <w:r>
        <w:rPr>
          <w:rFonts w:ascii="Times New Roman" w:hAnsi="Times New Roman" w:eastAsia="Times New Roman" w:cs="Times New Roman"/>
          <w:sz w:val="24"/>
        </w:rPr>
        <w:t>, the principal will place their property and assets into a Trust. During their lifetime, the individual can still benefit from their assets. When they die, the trustee (or successor trustee if grantor assigned themselves as trustee) will distribute the estate to the beneficiaries named in the living trust document.</w:t>
      </w:r>
    </w:p>
    <w:p>
      <w:pPr>
        <w:spacing w:before="280" w:after="280" w:line="300" w:lineRule="exact"/>
        <w:ind w:hanging="360"/>
      </w:pPr>
      <w:r>
        <w:rPr>
          <w:rFonts w:ascii="Times New Roman" w:hAnsi="Times New Roman" w:eastAsia="Times New Roman" w:cs="Times New Roman"/>
          <w:sz w:val="24"/>
        </w:rPr>
        <w:t>Signing Requirements</w:t>
      </w:r>
      <w:r>
        <w:rPr>
          <w:rFonts w:ascii="Times New Roman" w:hAnsi="Times New Roman" w:eastAsia="Times New Roman" w:cs="Times New Roman"/>
          <w:sz w:val="24"/>
        </w:rPr>
        <w:t xml:space="preserve"> (</w:t>
      </w:r>
      <w:r>
        <w:rPr>
          <w:rFonts w:ascii="Times New Roman" w:hAnsi="Times New Roman" w:eastAsia="Times New Roman" w:cs="Times New Roman"/>
          <w:sz w:val="24"/>
        </w:rPr>
        <w:t>§ 58a-112</w:t>
      </w:r>
      <w:r>
        <w:rPr>
          <w:rFonts w:ascii="Times New Roman" w:hAnsi="Times New Roman" w:eastAsia="Times New Roman" w:cs="Times New Roman"/>
          <w:sz w:val="24"/>
        </w:rPr>
        <w:t>) – Same requirements as a Will – the settlor, two (2) witnesses, and a Notary Public must sign.</w:t>
      </w:r>
    </w:p>
    <w:p>
      <w:pPr>
        <w:spacing w:before="240" w:after="48" w:line="360" w:lineRule="exact"/>
      </w:pPr>
      <w:r>
        <w:rPr>
          <w:rFonts w:ascii="Times New Roman" w:hAnsi="Times New Roman" w:eastAsia="Times New Roman" w:cs="Times New Roman"/>
          <w:b/>
          <w:sz w:val="24"/>
        </w:rPr>
        <w:t>Step 6 – Keep the Documents Safe</w:t>
      </w:r>
    </w:p>
    <w:p>
      <w:pPr>
        <w:spacing w:before="0" w:after="240"/>
      </w:pPr>
      <w:r>
        <w:rPr>
          <w:rFonts w:ascii="Times New Roman" w:hAnsi="Times New Roman" w:eastAsia="Times New Roman" w:cs="Times New Roman"/>
          <w:sz w:val="24"/>
        </w:rPr>
        <w:t>After executing each document, the principal should make copies of all the instruments and safely store them. Ideally, these instruments should be in a safe that is both fireproof and waterproof. Representatives and trustees should also be given copies (or originals) of any documents that they are named within. Furthermore, beneficiaries, representatives, and trustees should also be told what the location of the original documents is.</w:t>
      </w:r>
    </w:p>
    <w:p>
      <w:pPr>
        <w:spacing w:before="240" w:after="48" w:line="360" w:lineRule="exact"/>
      </w:pPr>
      <w:r>
        <w:rPr>
          <w:rFonts w:ascii="Times New Roman" w:hAnsi="Times New Roman" w:eastAsia="Times New Roman" w:cs="Times New Roman"/>
          <w:b w:val="0"/>
          <w:sz w:val="24"/>
        </w:rPr>
        <w:t>Kansas Estate Planning Laws</w:t>
      </w:r>
    </w:p>
    <w:p>
      <w:pPr>
        <w:spacing w:before="280" w:after="0" w:line="300" w:lineRule="exact"/>
        <w:ind w:hanging="360"/>
      </w:pPr>
      <w:r>
        <w:rPr>
          <w:rFonts w:ascii="Times New Roman" w:hAnsi="Times New Roman" w:eastAsia="Times New Roman" w:cs="Times New Roman"/>
          <w:b/>
          <w:sz w:val="24"/>
        </w:rPr>
        <w:t xml:space="preserve">Health Care Power of Attorney </w:t>
      </w:r>
      <w:r>
        <w:rPr>
          <w:rFonts w:ascii="Times New Roman" w:hAnsi="Times New Roman" w:eastAsia="Times New Roman" w:cs="Times New Roman"/>
          <w:sz w:val="24"/>
        </w:rPr>
        <w:t xml:space="preserve">– </w:t>
      </w:r>
      <w:r>
        <w:rPr>
          <w:rFonts w:ascii="Times New Roman" w:hAnsi="Times New Roman" w:eastAsia="Times New Roman" w:cs="Times New Roman"/>
          <w:sz w:val="24"/>
        </w:rPr>
        <w:t>§ 58-632</w:t>
      </w:r>
    </w:p>
    <w:p>
      <w:pPr>
        <w:spacing w:before="0" w:after="0" w:line="300" w:lineRule="exact"/>
        <w:ind w:hanging="360"/>
      </w:pPr>
      <w:r>
        <w:rPr>
          <w:rFonts w:ascii="Times New Roman" w:hAnsi="Times New Roman" w:eastAsia="Times New Roman" w:cs="Times New Roman"/>
          <w:sz w:val="24"/>
        </w:rPr>
        <w:t>Durable Power of Attorney</w:t>
      </w:r>
      <w:r>
        <w:rPr>
          <w:rFonts w:ascii="Times New Roman" w:hAnsi="Times New Roman" w:eastAsia="Times New Roman" w:cs="Times New Roman"/>
          <w:sz w:val="24"/>
        </w:rPr>
        <w:t xml:space="preserve"> – </w:t>
      </w:r>
      <w:r>
        <w:rPr>
          <w:rFonts w:ascii="Times New Roman" w:hAnsi="Times New Roman" w:eastAsia="Times New Roman" w:cs="Times New Roman"/>
          <w:sz w:val="24"/>
        </w:rPr>
        <w:t>§ 58-654</w:t>
      </w:r>
    </w:p>
    <w:p>
      <w:pPr>
        <w:spacing w:before="0" w:after="0" w:line="300" w:lineRule="exact"/>
        <w:ind w:hanging="360"/>
      </w:pPr>
      <w:r>
        <w:rPr>
          <w:rFonts w:ascii="Times New Roman" w:hAnsi="Times New Roman" w:eastAsia="Times New Roman" w:cs="Times New Roman"/>
          <w:sz w:val="24"/>
        </w:rPr>
        <w:t>Last Will and Testament</w:t>
      </w:r>
      <w:r>
        <w:rPr>
          <w:rFonts w:ascii="Times New Roman" w:hAnsi="Times New Roman" w:eastAsia="Times New Roman" w:cs="Times New Roman"/>
          <w:sz w:val="24"/>
        </w:rPr>
        <w:t xml:space="preserve"> – </w:t>
      </w:r>
      <w:r>
        <w:rPr>
          <w:rFonts w:ascii="Times New Roman" w:hAnsi="Times New Roman" w:eastAsia="Times New Roman" w:cs="Times New Roman"/>
          <w:sz w:val="24"/>
        </w:rPr>
        <w:t>Chapter 59 – Probate Code</w:t>
      </w:r>
    </w:p>
    <w:p>
      <w:pPr>
        <w:spacing w:before="0" w:after="280" w:line="300" w:lineRule="exact"/>
        <w:ind w:hanging="360"/>
      </w:pPr>
      <w:r>
        <w:rPr>
          <w:rFonts w:ascii="Times New Roman" w:hAnsi="Times New Roman" w:eastAsia="Times New Roman" w:cs="Times New Roman"/>
          <w:sz w:val="24"/>
        </w:rPr>
        <w:t>Living Trust (Revocable)</w:t>
      </w:r>
      <w:r>
        <w:rPr>
          <w:rFonts w:ascii="Times New Roman" w:hAnsi="Times New Roman" w:eastAsia="Times New Roman" w:cs="Times New Roman"/>
          <w:sz w:val="24"/>
        </w:rPr>
        <w:t xml:space="preserve"> – </w:t>
      </w:r>
      <w:r>
        <w:rPr>
          <w:rFonts w:ascii="Times New Roman" w:hAnsi="Times New Roman" w:eastAsia="Times New Roman" w:cs="Times New Roman"/>
          <w:sz w:val="24"/>
        </w:rPr>
        <w:t>Chapter 58a Uniform Trust Code</w:t>
      </w:r>
    </w:p>
    <w:p>
      <w:pPr>
        <w:spacing w:before="0" w:after="240"/>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