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KENTUCKY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 OF ATTORNEY IN FACT]</w:t>
      </w:r>
      <w:r>
        <w:rPr>
          <w:rFonts w:ascii="Times New Roman" w:hAnsi="Times New Roman" w:eastAsia="Times New Roman" w:cs="Times New Roman"/>
          <w:sz w:val="24"/>
        </w:rPr>
        <w:t xml:space="preserve">, of  </w:t>
      </w:r>
      <w:r>
        <w:rPr>
          <w:rFonts w:ascii="Times New Roman" w:hAnsi="Times New Roman" w:eastAsia="Times New Roman" w:cs="Times New Roman"/>
          <w:sz w:val="24"/>
        </w:rPr>
        <w:t>[STREET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b/>
          <w:sz w:val="24"/>
        </w:rPr>
        <w:t>[INITIAL]</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p>
    <w:p>
      <w:pPr/>
      <w:r>
        <w:rPr>
          <w:rFonts w:ascii="Times New Roman" w:hAnsi="Times New Roman" w:eastAsia="Times New Roman" w:cs="Times New Roman"/>
          <w:sz w:val="24"/>
        </w:rPr>
        <w:t>[LIST SPECIFIC POWERS]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Kentucky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NAME]</w:t>
      </w: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 IN FACT'S NAME]</w:t>
      </w: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KENTUCKY</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Pursuant to Kentucky Revised Statutes Chapter 386.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