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Lactation/Breastfeeding Policy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will be provided reasonable break time to express milk for the employee’s infant child while at work, as frequently as the employee needs to express milk. If possible, employees should use usual rest periods and meal periods for expressing milk. If this time is not adequate, employees will be provided with other [paid / unpaid] reasonable break time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has designated [location] as the location for employees to express milk.</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Employees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lactation accommodation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to their direct supervisors or Human Resources. If the Company is unable to comply with the employee’s request, it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response to the employee identifying why it denied the request.</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Company prohibits retaliation against employees for requesting or utilizing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lactation accommodation. If the employee believes her rights concerning lactation accommodations have been violated, the employee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the California Labor Commissioner in accordance with Chapter 3.8 of the California Labor Code.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