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Lactation/Breastfeeding Policy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will be provided reasonable break time to express milk while at work, as frequently as the employee needs to express milk, for up to one year following the birth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If possible, employees should use usual break and meal periods for expressing milk. If this time is not adequate, employees will be provided with other [paid/unpaid] reasonable break time to express milk.</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Company has designated [location] as the location for employees to express milk.</w:t>
      </w:r>
    </w:p>
    <w:p>
      <w:pPr>
        <w:keepNext w:val="0"/>
        <w:spacing w:before="120" w:after="0" w:line="260" w:lineRule="exact"/>
        <w:ind w:left="360" w:right="0" w:firstLine="0"/>
        <w:jc w:val="left"/>
      </w:pPr>
      <w:r>
        <w:rPr>
          <w:rFonts w:ascii="Times New Roman" w:hAnsi="Times New Roman" w:eastAsia="Times New Roman" w:cs="Times New Roman"/>
          <w:b w:val="0"/>
          <w:sz w:val="24"/>
        </w:rPr>
        <w:t>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Employees are encouraged to speak with their supervisors or Human Resources to discuss their nursing break time needs and any lactation-related health conditions.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