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Lactation/Breastfeeding Policy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will be provided reasonable unpaid break time, or permitted to use paid break time already provided, each day, to allow her to express breast milk for her nursing child, for up to one year after the child's birth.</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possible, the Company will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room or other location near her work area,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toilet stall, where she can express breast milk in privacy. The Company has designated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are encouraged to speak with their supervisors or Human Resources to discuss their nursing break time needs and any lactation-related health conditions.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