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will be provided reasonable break time to express milk while at work, as frequently as the employee needs to express milk, for up to one year following the birth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If possible, employees should use their usual break and meal periods for expressing milk. If this time is not adequate, employees will be provided with other [paid/unpaid] reasonable break time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designated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any lactation-related health conditions.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