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Lady Bird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GENERAL WARRANTY DEED</w:t>
      </w:r>
    </w:p>
    <w:p>
      <w:pPr>
        <w:keepNext w:val="0"/>
        <w:spacing w:before="200" w:after="0" w:line="260" w:lineRule="exact"/>
        <w:ind w:left="72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OF THE FOLLOWING INFORMATION FROM THIS INSTRUMENT BEFORE IT IS FILED FOR RECORD IN THE PUBLIC RECORDS: YOUR SOCIAL SECURITY NUMBER OR YOUR DRIVER’S LICENSE NUMBER.</w:t>
      </w:r>
    </w:p>
    <w:p>
      <w:pPr>
        <w:keepNext w:val="0"/>
        <w:spacing w:before="200" w:after="0" w:line="260" w:lineRule="exact"/>
        <w:ind w:left="72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[Month, Day 20__]</w:t>
      </w:r>
    </w:p>
    <w:p>
      <w:pPr>
        <w:keepNext w:val="0"/>
        <w:spacing w:before="200" w:after="0" w:line="260" w:lineRule="exact"/>
        <w:ind w:left="720" w:right="0" w:firstLine="0"/>
        <w:jc w:val="both"/>
      </w:pP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w:t>
      </w:r>
    </w:p>
    <w:p>
      <w:pPr>
        <w:keepNext w:val="0"/>
        <w:spacing w:before="200" w:after="0" w:line="260" w:lineRule="exact"/>
        <w:ind w:left="720" w:right="0" w:firstLine="0"/>
        <w:jc w:val="both"/>
      </w:pPr>
      <w:r>
        <w:rPr>
          <w:rFonts w:ascii="Times New Roman" w:hAnsi="Times New Roman" w:eastAsia="Times New Roman" w:cs="Times New Roman"/>
          <w:b/>
          <w:sz w:val="24"/>
        </w:rPr>
        <w:t>Grantor’s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[grantor address line 1]</w:t>
      </w:r>
    </w:p>
    <w:p>
      <w:pPr>
        <w:keepNext w:val="0"/>
        <w:spacing w:before="200" w:after="0" w:line="260" w:lineRule="exact"/>
        <w:ind w:left="720" w:right="0" w:firstLine="0"/>
        <w:jc w:val="both"/>
      </w:pPr>
      <w:r>
        <w:rPr>
          <w:rFonts w:ascii="Times New Roman" w:hAnsi="Times New Roman" w:eastAsia="Times New Roman" w:cs="Times New Roman"/>
          <w:b w:val="0"/>
          <w:sz w:val="24"/>
        </w:rPr>
        <w:t>[grantor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[grantor’s county] County, Texas</w:t>
      </w:r>
    </w:p>
    <w:p>
      <w:pPr>
        <w:keepNext w:val="0"/>
        <w:spacing w:before="200" w:after="0" w:line="260" w:lineRule="exact"/>
        <w:ind w:left="720" w:right="0" w:firstLine="0"/>
        <w:jc w:val="both"/>
      </w:pP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w:t>
      </w:r>
    </w:p>
    <w:p>
      <w:pPr>
        <w:keepNext w:val="0"/>
        <w:spacing w:before="200" w:after="0" w:line="260" w:lineRule="exact"/>
        <w:ind w:left="720" w:right="0" w:firstLine="0"/>
        <w:jc w:val="both"/>
      </w:pPr>
      <w:r>
        <w:rPr>
          <w:rFonts w:ascii="Times New Roman" w:hAnsi="Times New Roman" w:eastAsia="Times New Roman" w:cs="Times New Roman"/>
          <w:b/>
          <w:sz w:val="24"/>
        </w:rPr>
        <w:t>Grantee’s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[grantee address line 1]</w:t>
      </w:r>
    </w:p>
    <w:p>
      <w:pPr>
        <w:keepNext w:val="0"/>
        <w:spacing w:before="200" w:after="0" w:line="260" w:lineRule="exact"/>
        <w:ind w:left="720" w:right="0" w:firstLine="0"/>
        <w:jc w:val="both"/>
      </w:pPr>
      <w:r>
        <w:rPr>
          <w:rFonts w:ascii="Times New Roman" w:hAnsi="Times New Roman" w:eastAsia="Times New Roman" w:cs="Times New Roman"/>
          <w:b w:val="0"/>
          <w:sz w:val="24"/>
        </w:rPr>
        <w:t>[grantee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[grantee’s county] County, Texas</w:t>
      </w:r>
    </w:p>
    <w:p>
      <w:pPr>
        <w:keepNext w:val="0"/>
        <w:spacing w:before="200" w:after="0" w:line="260" w:lineRule="exact"/>
        <w:ind w:left="720" w:right="0" w:firstLine="0"/>
        <w:jc w:val="both"/>
      </w:pP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Cash and other good and valuable consideration, the receipt and sufficiency of which are hereby acknowledged.</w:t>
      </w:r>
    </w:p>
    <w:p>
      <w:pPr>
        <w:keepNext w:val="0"/>
        <w:spacing w:before="200" w:after="0" w:line="260" w:lineRule="exact"/>
        <w:ind w:left="720" w:right="0" w:firstLine="0"/>
        <w:jc w:val="both"/>
      </w:pPr>
      <w:r>
        <w:rPr>
          <w:rFonts w:ascii="Times New Roman" w:hAnsi="Times New Roman" w:eastAsia="Times New Roman" w:cs="Times New Roman"/>
          <w:b/>
          <w:sz w:val="24"/>
        </w:rPr>
        <w:t>Property (including any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 of property], [county] County, Texas</w:t>
      </w:r>
    </w:p>
    <w:p>
      <w:pPr>
        <w:keepNext w:val="0"/>
        <w:spacing w:before="200" w:after="0" w:line="260" w:lineRule="exact"/>
        <w:ind w:left="1080" w:right="0" w:firstLine="0"/>
        <w:jc w:val="both"/>
      </w:pPr>
      <w:r>
        <w:rPr>
          <w:rFonts w:ascii="Times New Roman" w:hAnsi="Times New Roman" w:eastAsia="Times New Roman" w:cs="Times New Roman"/>
          <w:b w:val="0"/>
          <w:sz w:val="24"/>
        </w:rPr>
        <w:t>and more commonly known as [street address], [city], Texas [zip code]</w:t>
      </w:r>
    </w:p>
    <w:p>
      <w:pPr>
        <w:keepNext w:val="0"/>
        <w:spacing w:before="200" w:after="0" w:line="260" w:lineRule="exact"/>
        <w:ind w:left="720" w:right="0" w:firstLine="0"/>
        <w:jc w:val="both"/>
      </w:pPr>
      <w:r>
        <w:rPr>
          <w:rFonts w:ascii="Times New Roman" w:hAnsi="Times New Roman" w:eastAsia="Times New Roman" w:cs="Times New Roman"/>
          <w:b/>
          <w:sz w:val="24"/>
        </w:rPr>
        <w:t>Reservations for Conveyance:</w:t>
      </w:r>
      <w:r>
        <w:rPr>
          <w:rFonts w:ascii="Times New Roman" w:hAnsi="Times New Roman" w:eastAsia="Times New Roman" w:cs="Times New Roman"/>
          <w:b w:val="0"/>
          <w:sz w:val="24"/>
        </w:rPr>
        <w:t xml:space="preserve"> For Grantor and Grantor’s assigns,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reservation of the full possession, use, and benefit of the Property for the remainder of the life of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Grantor retains full and complete power and right, without the requirement of joinder of any other person, including the grantee, to sell, mortgage, convey the Property subject to this deed and to spend any proceeds and profits received; to lease the surface and subsurface of the Property; to enter into any oil, gas, or other mineral lease for any term of years ending either before or after the Grantor has died, to exchange it for other property; to invest and reinvest all proceeds received from the sale or other disposition of the Property; and to consume the corpus, whether by sale, conveyance, mortgage, mineral lease, or otherwise, without any duty to the remainderman and without liability for waste. This life estate shall reserve unto the right, without any duty to the remainderman and without any liability for waste, to possess and consume any and all proceeds and profits from the Property, including but not limited to rentals, royalties, bonuses, delay rentals, and other benefits payable on any sale, mortgage, or conveyance under oil, gas, and other mineral leases covering the Property at the inception of this life estate.</w:t>
      </w:r>
    </w:p>
    <w:p>
      <w:pPr>
        <w:keepNext w:val="0"/>
        <w:spacing w:before="200" w:after="0" w:line="260" w:lineRule="exact"/>
        <w:ind w:left="720" w:right="0" w:firstLine="0"/>
        <w:jc w:val="both"/>
      </w:pPr>
      <w:r>
        <w:rPr>
          <w:rFonts w:ascii="Times New Roman" w:hAnsi="Times New Roman" w:eastAsia="Times New Roman" w:cs="Times New Roman"/>
          <w:b/>
          <w:sz w:val="24"/>
        </w:rPr>
        <w:t>Exceptions to Conveyance and Warranty:</w:t>
      </w:r>
      <w:r>
        <w:rPr>
          <w:rFonts w:ascii="Times New Roman" w:hAnsi="Times New Roman" w:eastAsia="Times New Roman" w:cs="Times New Roman"/>
          <w:b w:val="0"/>
          <w:sz w:val="24"/>
        </w:rPr>
        <w:t xml:space="preserve"> Liens described as part of the Consideration and any other liens described in this deed as being either assumed or subject to which title is taken; validly existing easements, rights-of-way, and prescriptive rights, whether of record or not at all; all presently recorded and validly existing instruments, other than conveyances of the surface fee estate, that affect the Property and taxes for [20__], which Grantee assumes and agrees to pay, but not subsequent assessments for that, and prior years due to change in land usage, ownership, or both, the payment of which Grantor assumes.</w:t>
      </w:r>
    </w:p>
    <w:p>
      <w:pPr>
        <w:keepNext w:val="0"/>
        <w:spacing w:before="200" w:after="0" w:line="260" w:lineRule="exact"/>
        <w:ind w:left="720" w:right="0" w:firstLine="0"/>
        <w:jc w:val="both"/>
      </w:pPr>
      <w:r>
        <w:rPr>
          <w:rFonts w:ascii="Times New Roman" w:hAnsi="Times New Roman" w:eastAsia="Times New Roman" w:cs="Times New Roman"/>
          <w:b w:val="0"/>
          <w:sz w:val="24"/>
        </w:rPr>
        <w:t>Grantor, for the Consideration and subject to the Reservations from Conveyance and the Exceptions to Conveyance and Warranty, grants, sells, and conveys to Grantee the Property, together with all and singular the rights and appurtenances thereto in any way belonging, to have and to hold it to Grantee and Grantee's heirs, successors, and assigns forever. Grantor binds Grantor and Grantor's heirs and successors to warrant and forever defend all and singular the Property to Grantee and Grantee's heirs, successors, and assigns against every person whomsoever lawfully claiming or to claim the same or any part thereof, except as to the Reservations from Conveyance and the Exceptions to Conveyance and Warranty.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When the context requires, singular nouns and pronouns include the plural.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Grantor</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This instrument was acknowledged before me on [Month Day, 20__] by [name of transferor].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