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Legal Opinion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 of Opinion]</w:t>
      </w:r>
    </w:p>
    <w:p>
      <w:pPr>
        <w:keepNext w:val="0"/>
        <w:spacing w:before="200" w:after="0" w:line="260" w:lineRule="exact"/>
        <w:ind w:left="360" w:right="0" w:firstLine="0"/>
        <w:jc w:val="both"/>
      </w:pPr>
      <w:r>
        <w:rPr>
          <w:rFonts w:ascii="Times New Roman" w:hAnsi="Times New Roman" w:eastAsia="Times New Roman" w:cs="Times New Roman"/>
          <w:b w:val="0"/>
          <w:sz w:val="24"/>
        </w:rPr>
        <w:t>[Names of Initial Purchasers]</w:t>
      </w:r>
    </w:p>
    <w:p>
      <w:pPr>
        <w:keepNext w:val="0"/>
        <w:spacing w:before="200" w:after="0" w:line="260" w:lineRule="exact"/>
        <w:ind w:left="360" w:right="0" w:firstLine="0"/>
        <w:jc w:val="both"/>
      </w:pPr>
      <w:r>
        <w:rPr>
          <w:rFonts w:ascii="Times New Roman" w:hAnsi="Times New Roman" w:eastAsia="Times New Roman" w:cs="Times New Roman"/>
          <w:b w:val="0"/>
          <w:sz w:val="24"/>
        </w:rPr>
        <w:t>c/o [Name of Lead Manager]</w:t>
      </w:r>
    </w:p>
    <w:p>
      <w:pPr>
        <w:keepNext w:val="0"/>
        <w:spacing w:before="200" w:after="0" w:line="260" w:lineRule="exact"/>
        <w:ind w:left="360" w:right="0" w:firstLine="0"/>
        <w:jc w:val="both"/>
      </w:pPr>
      <w:r>
        <w:rPr>
          <w:rFonts w:ascii="Times New Roman" w:hAnsi="Times New Roman" w:eastAsia="Times New Roman" w:cs="Times New Roman"/>
          <w:b w:val="0"/>
          <w:sz w:val="24"/>
        </w:rPr>
        <w:t>[Address of Lead Manager]</w:t>
      </w:r>
    </w:p>
    <w:p>
      <w:pPr>
        <w:keepNext w:val="0"/>
        <w:spacing w:before="200" w:after="0" w:line="260" w:lineRule="exact"/>
        <w:ind w:left="360" w:right="0" w:firstLine="0"/>
        <w:jc w:val="both"/>
      </w:pPr>
      <w:r>
        <w:rPr>
          <w:rFonts w:ascii="Times New Roman" w:hAnsi="Times New Roman" w:eastAsia="Times New Roman" w:cs="Times New Roman"/>
          <w:b/>
          <w:sz w:val="24"/>
        </w:rPr>
        <w:t>Re: [Name of Issuer] — [Coupon Rate]% Senior Notes, due [Maturity Date]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have acted as [general/special] counsel to [Name of Issuer], a [State of Incorporation of Issuer] corporation (the "Company"), in connection with the issuance and sale by the Company of [up to] $[Aggregate Principal Amount] [Coupon Rate]% Senior Notes, due </w:t>
      </w:r>
      <w:r>
        <w:rPr>
          <w:rFonts w:ascii="Times New Roman" w:hAnsi="Times New Roman" w:eastAsia="Times New Roman" w:cs="Times New Roman"/>
          <w:b/>
          <w:sz w:val="24"/>
        </w:rPr>
        <w:t>[Maturity Date]</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Notes</w:t>
      </w:r>
      <w:r>
        <w:rPr>
          <w:rFonts w:ascii="Times New Roman" w:hAnsi="Times New Roman" w:eastAsia="Times New Roman" w:cs="Times New Roman"/>
          <w:b w:val="0"/>
          <w:sz w:val="24"/>
        </w:rPr>
        <w:t>"), pursuant to the terms of the Purchase Agreement dated [Date of Purchase Agreement]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between the Company and you, as the Initial Purchasers named therein. The terms of the Notes are described in the Final Offering Memorandum, dated [Date of Final Offering Memorandum].</w:t>
      </w:r>
    </w:p>
    <w:p>
      <w:pPr>
        <w:keepNext w:val="0"/>
        <w:spacing w:before="200" w:after="0" w:line="260" w:lineRule="exact"/>
        <w:ind w:left="360" w:right="0" w:firstLine="0"/>
        <w:jc w:val="both"/>
      </w:pPr>
      <w:r>
        <w:rPr>
          <w:rFonts w:ascii="Times New Roman" w:hAnsi="Times New Roman" w:eastAsia="Times New Roman" w:cs="Times New Roman"/>
          <w:b w:val="0"/>
          <w:sz w:val="24"/>
        </w:rPr>
        <w:t>This opinion is furnished to you pursuant to Section [Closing Deliverables Section of Purchase Agreement] of the Agreement. All capitalized terms used herein and not otherwise defined shall have the respective meanings assigned to them in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connection with this opinion, we have examined originals, photocopies or certified copies of the Agreement, the Indenture, the Notes and the Registration Rights Agreement (collectively referred to hereafter as the "Operative Documents"). In addition, we have examined such corporate records, documents, instruments, certificates of public officials and of the Company and such questions of law as we have deemed necessary for the purpose of rendering the opinions set forth herein. As to factual matters relevant to this opinion, we have relied, without investigation or analysis of any underlying data contained therein, upon certificates or other comparable documents or public officials and upon statements and certifications of officers of the Company and the representations and warranties contained in the Agreement.</w:t>
      </w:r>
    </w:p>
    <w:p>
      <w:pPr>
        <w:keepNext w:val="0"/>
        <w:spacing w:before="200" w:after="0" w:line="260" w:lineRule="exact"/>
        <w:ind w:left="360" w:right="0" w:firstLine="0"/>
        <w:jc w:val="both"/>
      </w:pPr>
      <w:r>
        <w:rPr>
          <w:rFonts w:ascii="Times New Roman" w:hAnsi="Times New Roman" w:eastAsia="Times New Roman" w:cs="Times New Roman"/>
          <w:b w:val="0"/>
          <w:sz w:val="24"/>
        </w:rPr>
        <w:t>In such examination, we have assumed the genuineness of all signatures and the authenticity of all items submitted to us as originals and the conformity with originals of all items submitted to us as copies. In making our examination of the Operative Documents and documents executed by parties other than the Company, we have assumed that each party other than the Company has the power and authority to execute and deliver and to perform and observe the provisions of, such documents and the due authorization by each such other party of all requisite action and the due execution and delivery of such documents by each such party. We have also assumed compliance with all applicable state securities and "blue sky" laws. As to questions of fact regarding the Company [and its subsidiaries that are material to the opinions expressed herein (the "</w:t>
      </w:r>
      <w:r>
        <w:rPr>
          <w:rFonts w:ascii="Times New Roman" w:hAnsi="Times New Roman" w:eastAsia="Times New Roman" w:cs="Times New Roman"/>
          <w:b/>
          <w:sz w:val="24"/>
        </w:rPr>
        <w:t>Subsidiaries</w:t>
      </w:r>
      <w:r>
        <w:rPr>
          <w:rFonts w:ascii="Times New Roman" w:hAnsi="Times New Roman" w:eastAsia="Times New Roman" w:cs="Times New Roman"/>
          <w:b w:val="0"/>
          <w:sz w:val="24"/>
        </w:rPr>
        <w:t>")], we have relied on the Certificate of [Title of Applicable Authorized Officer of the Issuer], a copy of which is attached hereto. We have made no independent investigation or analysis as to whether the foregoing certificate is accurate or complete.</w:t>
      </w:r>
    </w:p>
    <w:p>
      <w:pPr>
        <w:keepNext w:val="0"/>
        <w:spacing w:before="200" w:after="0" w:line="260" w:lineRule="exact"/>
        <w:ind w:left="360" w:right="0" w:firstLine="0"/>
        <w:jc w:val="both"/>
      </w:pPr>
      <w:r>
        <w:rPr>
          <w:rFonts w:ascii="Times New Roman" w:hAnsi="Times New Roman" w:eastAsia="Times New Roman" w:cs="Times New Roman"/>
          <w:b w:val="0"/>
          <w:sz w:val="24"/>
        </w:rPr>
        <w:t>Our opinions in paragraphs [</w:t>
      </w:r>
      <w:r>
        <w:rPr>
          <w:rFonts w:ascii="Times New Roman" w:hAnsi="Times New Roman" w:eastAsia="Times New Roman" w:cs="Times New Roman"/>
          <w:b w:val="0"/>
          <w:sz w:val="24"/>
        </w:rPr>
        <w:t>1.</w:t>
      </w:r>
      <w:r>
        <w:rPr>
          <w:rFonts w:ascii="Times New Roman" w:hAnsi="Times New Roman" w:eastAsia="Times New Roman" w:cs="Times New Roman"/>
          <w:b w:val="0"/>
          <w:sz w:val="24"/>
        </w:rPr>
        <w:t>] and [</w:t>
      </w:r>
      <w:r>
        <w:rPr>
          <w:rFonts w:ascii="Times New Roman" w:hAnsi="Times New Roman" w:eastAsia="Times New Roman" w:cs="Times New Roman"/>
          <w:b w:val="0"/>
          <w:sz w:val="24"/>
        </w:rPr>
        <w:t>2.</w:t>
      </w:r>
      <w:r>
        <w:rPr>
          <w:rFonts w:ascii="Times New Roman" w:hAnsi="Times New Roman" w:eastAsia="Times New Roman" w:cs="Times New Roman"/>
          <w:b w:val="0"/>
          <w:sz w:val="24"/>
        </w:rPr>
        <w:t>] below as to the qualification and good standing of the Company [and certain of its subsidiaries] in the State[s] of [State(s) where the Issuer (and its subsidiaries, if applicable) Transacts Business] are based solely on certificates of public officials in the State[s] named in [those/that] paragraph[s].</w:t>
      </w:r>
    </w:p>
    <w:p>
      <w:pPr>
        <w:keepNext w:val="0"/>
        <w:spacing w:before="200" w:after="0" w:line="260" w:lineRule="exact"/>
        <w:ind w:left="360" w:right="0" w:firstLine="0"/>
        <w:jc w:val="both"/>
      </w:pPr>
      <w:r>
        <w:rPr>
          <w:rFonts w:ascii="Times New Roman" w:hAnsi="Times New Roman" w:eastAsia="Times New Roman" w:cs="Times New Roman"/>
          <w:b w:val="0"/>
          <w:sz w:val="24"/>
        </w:rPr>
        <w:t>The opinions hereinafter expressed are subject to the following qualifications and exceptions: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effect of bankruptcy, insolvency, reorganization, arrangement, moratorium or other similar laws relating to or affecting the rights of creditors generally, including, without limitation, laws relating to fraudulent transfers or conveyances, preferences and equitable subordination;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limitations imposed by general principles of equity upon the availability of equitable remedies or the enforcement of provisions of the Operative Documents; and the effect of judicial decisions which have held that certain provisions are unenforceable where their enforcement would violate the implied covenant of good faith and fair dealing, or would be commercially unreasonable, or where their breach is not material;</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provisions of Section[s] [Indemnification Section of the Purchase Agreement] of the Agreement [and Section[s] [Indemnification Section of the Registration Rights Agreement] of the Registration Rights Agreement] purporting to provide for indemnification under certain circumstances may be unenforceable as violative of public policy expressed under the 1933 Act, and accordingly, we are unable to render an opinion as to the enforceability of such provisions;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express no opinion as to the enforceability of any waivers set forth in the Operative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opinion is based upon current statutes, rules, regulations, cases and official interpretive opinions, and it covers certain items that are not directly or definitively addressed by such authorities;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express no opinion as to the effect on the opinions expressed herein of (1) the compliance or non-compliance of any party to the Operative Documents (other than the Company) with any laws, regulations or orders applicable to it, or (2) the legal or regulatory status or the nature of the business of any such party;</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purposes of our opinions set forth in paragraphs [</w:t>
      </w:r>
      <w:r>
        <w:rPr>
          <w:rFonts w:ascii="Times New Roman" w:hAnsi="Times New Roman" w:eastAsia="Times New Roman" w:cs="Times New Roman"/>
          <w:b w:val="0"/>
          <w:sz w:val="24"/>
        </w:rPr>
        <w:t>9.</w:t>
      </w:r>
      <w:r>
        <w:rPr>
          <w:rFonts w:ascii="Times New Roman" w:hAnsi="Times New Roman" w:eastAsia="Times New Roman" w:cs="Times New Roman"/>
          <w:b w:val="0"/>
          <w:sz w:val="24"/>
        </w:rPr>
        <w:t>]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 below, the term "Applicable Laws" refers to those laws, rules and regulations of the United States and [State Governing the Operative Documents], which, in our experience, are ordinarily applicable to transactions of the type contemplated by the Operative Documents;</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the opinions expressed in paragraphs [</w:t>
      </w:r>
      <w:r>
        <w:rPr>
          <w:rFonts w:ascii="Times New Roman" w:hAnsi="Times New Roman" w:eastAsia="Times New Roman" w:cs="Times New Roman"/>
          <w:b w:val="0"/>
          <w:sz w:val="24"/>
        </w:rPr>
        <w:t>9.</w:t>
      </w:r>
      <w:r>
        <w:rPr>
          <w:rFonts w:ascii="Times New Roman" w:hAnsi="Times New Roman" w:eastAsia="Times New Roman" w:cs="Times New Roman"/>
          <w:b w:val="0"/>
          <w:sz w:val="24"/>
        </w:rPr>
        <w:t>] and [</w:t>
      </w:r>
      <w:r>
        <w:rPr>
          <w:rFonts w:ascii="Times New Roman" w:hAnsi="Times New Roman" w:eastAsia="Times New Roman" w:cs="Times New Roman"/>
          <w:b w:val="0"/>
          <w:sz w:val="24"/>
        </w:rPr>
        <w:t>10.</w:t>
      </w:r>
      <w:r>
        <w:rPr>
          <w:rFonts w:ascii="Times New Roman" w:hAnsi="Times New Roman" w:eastAsia="Times New Roman" w:cs="Times New Roman"/>
          <w:b w:val="0"/>
          <w:sz w:val="24"/>
        </w:rPr>
        <w:t>] below, we have assumed that no discretionary action under the Operative Documents will be taken by or on behalf of the Company that will violate any of the Applicable Laws or that would require the Company to obtain or make any authorization approval, consent or filing under any Applicable Law; and</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 respect to the opinions expressed in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below, as to agreements which are or may be governed by the laws of a jurisdiction other than [State Governing the Operative Documents], we have assumed that such agreements are governed by the law of [State Governing the Operative Documents].</w:t>
      </w:r>
    </w:p>
    <w:p>
      <w:pPr>
        <w:keepNext w:val="0"/>
        <w:spacing w:before="200" w:after="0" w:line="260" w:lineRule="exact"/>
        <w:ind w:left="360" w:right="0" w:firstLine="0"/>
        <w:jc w:val="both"/>
      </w:pPr>
      <w:r>
        <w:rPr>
          <w:rFonts w:ascii="Times New Roman" w:hAnsi="Times New Roman" w:eastAsia="Times New Roman" w:cs="Times New Roman"/>
          <w:b w:val="0"/>
          <w:sz w:val="24"/>
        </w:rPr>
        <w:t>Whenever our opinion herein with respect to the existence or absence of facts is indicated to be based on our knowledge, belief or awareness, it is intended to signify that during the course of our representation of the Company in connection with the transactions referred to herein, no information has come to our attention that would give us actual knowledge of the existence or absence of such facts. However, we have not undertaken any independent investigation to determine the existence or absence of such facts, except for our participation in the conferences referred to below, and no inference as to our knowledge of the existence or absence of such facts should be drawn from our representation of the Company.</w:t>
      </w:r>
    </w:p>
    <w:p>
      <w:pPr>
        <w:keepNext w:val="0"/>
        <w:spacing w:before="200" w:after="0" w:line="260" w:lineRule="exact"/>
        <w:ind w:left="360" w:right="0" w:firstLine="0"/>
        <w:jc w:val="both"/>
      </w:pPr>
      <w:r>
        <w:rPr>
          <w:rFonts w:ascii="Times New Roman" w:hAnsi="Times New Roman" w:eastAsia="Times New Roman" w:cs="Times New Roman"/>
          <w:b w:val="0"/>
          <w:sz w:val="24"/>
        </w:rPr>
        <w:t>Based upon and subject to the foregoing, we are of the opinion that:</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Company is a corporation validly existing and in good standing under the laws of the State of [State of Incorporation of Issuer] and has full corporate power and authority to conduct its business as described in the Offering Memorandum. [The Company is duly qualified to transact business as a foreign corporation in the State[s] of [State(s) where the Issuer (and its subsidiaries, if applicable) Transacts Business (excluding State of Incorporation)].]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Agreement, the Indenture and the Registration Rights Agreement have been duly authorized, executed and delivered by the Company and constitutes the legal, valid and binding obligations of the Company, enforceable against the Company in accordance with its terms, subject to applicable bankruptcy, reorganization, insolvency, moratorium, emergency regulation, fraudulent conveyance or other similar laws affecting the rights of creditors now or hereinafter in effect, to equitable remedies that may limit the right to specific enforcement of remedies and to the application of principles of public policy.</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Notes are in the form contemplated by the Indenture. The Notes have been duly authorized, executed and delivered by the Company and, assuming due authentication of the Notes by the Trustee, when issued and paid for in accordance with the terms of the Agreement and the Indenture will constitute the legal, valid and binding obligations of the Company, entitled to the benefits of the Indenture and enforceable against the Company in accordance with their terms, subject to applicable bankruptcy, reorganization, insolvency, moratorium, emergency regulation, fraudulent conveyance or other similar laws affecting the rights of creditors now or hereinafter in effect, to equitable remedies that may limit the right to specific enforcement of remedies and to the application of principles of public policy.</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Indenture complies as to form in all material respects with the requirements of the Trust Indenture Act, and the rules and regulations of the SEC applicable to an indenture which is qualified thereunder.</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Assuming (i) the accuracy of, and compliance with, the representations, warranties and covenants of the Company and the Initial Purchasers in the Agreement and (ii) receipt by the purchasers to whom the Initial Purchasers initially resell the Notes of a copy of the Preliminary Offering Memorandum prior to such sale, it is not necessary in connection with the offer, sale and delivery of the Initial Notes (as defined in the Indenture) in the manner contemplated by the Offering Memorandum to register the Initial Notes under the Act, provided, however, that we express no opinion as to any subsequent resale of the Initial Notes.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Registration or other action on the part of the Company under the Investment Company Act of 1940, as amended, is not required for, and will not be required as a consequence of, the issuance, offering and sale of the Notes pursuant to the Operative Documents and in the manner contemplated by the Offering Memorandum and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Notes conform in all material respects to the descriptions thereof contained under the caption ["Description of the Notes"] in the Offering Memorandum.</w:t>
      </w:r>
    </w:p>
    <w:p>
      <w:pPr>
        <w:keepNext w:val="0"/>
        <w:spacing w:before="120" w:after="0" w:line="260" w:lineRule="exact"/>
        <w:ind w:left="720" w:right="0" w:firstLine="0"/>
        <w:jc w:val="left"/>
      </w:pPr>
      <w:r>
        <w:rPr>
          <w:rFonts w:ascii="Times New Roman" w:hAnsi="Times New Roman" w:eastAsia="Times New Roman" w:cs="Times New Roman"/>
          <w:b w:val="0"/>
          <w:sz w:val="24"/>
        </w:rPr>
        <w:t>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execution and delivery of the Operative Documents and the performance by the Company of the transactions contemplated thereby (including, without limitation, the issuance and sale of the Notes to the Initial Purchasers), will not violate or result in a violation of (i) the terms, conditions or provisions of any material contract, undertaking, indenture or other agreement by which the Company [or any of the Subsidiaries] is now bound or to which it is now a party (provided, however, that we express no opinion as to any potential violation of any financial covenants contained in such agreements), or (ii) the certificate of incorporation or bylaws of the Company. The execution and delivery of the Operative Documents and the issuance of the Notes under the Indenture will not violate any Applicable Laws, provided however, that we express no opinion in this paragraph with respect to (A) the federal securities laws or any state securities or "blue sky" laws or (B) (except as set forth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above) the information contained in, or the accuracy, completeness or correctness of, the Disclosure Package or the Offering Memorandum.</w:t>
      </w:r>
    </w:p>
    <w:p>
      <w:pPr>
        <w:keepNext w:val="0"/>
        <w:spacing w:before="120" w:after="0" w:line="260" w:lineRule="exact"/>
        <w:ind w:left="720" w:right="0" w:firstLine="0"/>
        <w:jc w:val="left"/>
      </w:pPr>
      <w:r>
        <w:rPr>
          <w:rFonts w:ascii="Times New Roman" w:hAnsi="Times New Roman" w:eastAsia="Times New Roman" w:cs="Times New Roman"/>
          <w:b w:val="0"/>
          <w:sz w:val="24"/>
        </w:rPr>
        <w:t>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 authorization, approval, consent of or filing with any court or governmental authority or agency is required to be obtained or made by the Company under any Applicable Law in connection with (A) the issuance and sale by the Company of the Notes to the Initial Purchasers, except (i) such as have been obtained and (ii) such as may be required under state securities or "blue sky" laws in connection with the purchase and resale of the Notes by the Initial Purchasers, as to which we express no opinion or (B) the consummation by the Company of the other transactions contemplated by the Operative Documents, except (i) such as have been obtained, (ii) in connection with the registration of the Notes under the Act as required by the Registration Rights Agreement (including any filings with the Financial Industry Regulatory Authority, Inc.), (iii) in order to qualify the Indenture under the Trust Indenture Act and (iv) such as may be required under state securities or "blue sky" laws in connection with the resale of the Notes by the Initial Purchasers, as to which we express no opinion.</w:t>
      </w:r>
    </w:p>
    <w:p>
      <w:pPr>
        <w:keepNext w:val="0"/>
        <w:spacing w:before="120" w:after="0" w:line="260" w:lineRule="exact"/>
        <w:ind w:left="720" w:right="0" w:firstLine="0"/>
        <w:jc w:val="left"/>
      </w:pPr>
      <w:r>
        <w:rPr>
          <w:rFonts w:ascii="Times New Roman" w:hAnsi="Times New Roman" w:eastAsia="Times New Roman" w:cs="Times New Roman"/>
          <w:b w:val="0"/>
          <w:sz w:val="24"/>
        </w:rPr>
        <w:t>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our knowledge, (i) there is no material pending or threatened action, suit or proceeding before any court or governmental agency, authority or body or any arbitrator involving the Company [or any of the Subsidiaries], other than such actions, suits or proceedings as are described in the Offering Memorandum, and (ii) there is no pending or threatened action, suit or proceeding before any court or governmental agency, authority or body or any arbitrator involving the Company [or any of the Subsidiaries] that seeks to restrain, enjoin, prevent the consummation of or otherwise challenge the issuance or sale of the Notes to be sold pursuant to the Operative Documents or the consummation of the other transactions contemplated therein.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addition, we have participated in conferences with your representatives and with representatives of the Company and its accountants concerning the Disclosure Package and the Offering Memorandum and have considered the matters required to be stated therein and the statements contained therein, although we have not independently verified the accuracy, completeness or fairness of such statements, except as set forth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above. We are also not passing upon, and do not assume any responsibility for, ascertaining whether or when any of the information contained in the Disclosure Package was conveyed to any purchaser of the Notes. Based upon and subject to the foregoing, nothing has come to our attention that leads us to believe that the Disclosure Package, as of the Applicable Time, or the Final Offering Memorandum, as of its date or as of the date hereof, contained or contains any untrue statement of a material fact or omitted or omits to state a material fact necessary to make the statements therein, in light of the circumstances under which they were made, not misleading (it being understood that we have not been requested to and do not make any comment in this paragraph with respect to the financial statements, supporting schedules, footnotes, and other financial and statistical information contained in the Disclosure Package and Offering Memorandum).</w:t>
      </w:r>
    </w:p>
    <w:p>
      <w:pPr>
        <w:keepNext w:val="0"/>
        <w:spacing w:before="200" w:after="0" w:line="260" w:lineRule="exact"/>
        <w:ind w:left="360" w:right="0" w:firstLine="0"/>
        <w:jc w:val="both"/>
      </w:pPr>
      <w:r>
        <w:rPr>
          <w:rFonts w:ascii="Times New Roman" w:hAnsi="Times New Roman" w:eastAsia="Times New Roman" w:cs="Times New Roman"/>
          <w:b w:val="0"/>
          <w:sz w:val="24"/>
        </w:rPr>
        <w:t>We express no opinion as to matters governed by laws of any jurisdiction other than the laws of the State of [State Governing the Operative Documents] and the federal laws of the United States of America, as in effect on the date hereof.</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furnished by us to you as the Initial Purchasers under the Agreement, and is solely for your benefit. Neither this letter nor any opinion expressed herein may be relied upon, nor may copies be delivered or disclosed to, any other person, firm, corporation or entity for any purpose whatsoever without our prior written consent, provided, however, that Trustee may rely upon paragraphs [Paragraph Number(s) of Opinions given to Trustee] of this opinion as if it was an addressee of this letter.</w:t>
      </w:r>
    </w:p>
    <w:p>
      <w:pPr>
        <w:keepNext w:val="0"/>
        <w:spacing w:before="200" w:after="0" w:line="260" w:lineRule="exact"/>
        <w:ind w:left="360" w:right="0" w:firstLine="0"/>
        <w:jc w:val="both"/>
      </w:pPr>
      <w:r>
        <w:rPr>
          <w:rFonts w:ascii="Times New Roman" w:hAnsi="Times New Roman" w:eastAsia="Times New Roman" w:cs="Times New Roman"/>
          <w:b w:val="0"/>
          <w:sz w:val="24"/>
        </w:rPr>
        <w:t>Very truly yours,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