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Legal Opinion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val="0"/>
          <w:sz w:val="24"/>
        </w:rPr>
        <w:t>1.</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The Company and each Subsidiary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duly incorporated and validly existing under the laws of the state of its incorporation and is in good standing under such laws. The Company and each Subsidiary has the requisite corporate power to own, lease and operate its properties and to conduct its business as presently conducted. The Company and each Subsidiary is duly qualified to do business and is in good standing in each jurisdiction in which the Company conducts business.</w:t>
      </w:r>
    </w:p>
    <w:p>
      <w:pPr>
        <w:keepNext w:val="0"/>
        <w:spacing w:before="120" w:after="0" w:line="260" w:lineRule="exact"/>
        <w:ind w:left="360" w:right="0" w:firstLine="0"/>
        <w:jc w:val="left"/>
      </w:pPr>
      <w:r>
        <w:rPr>
          <w:rFonts w:ascii="Times New Roman" w:hAnsi="Times New Roman" w:eastAsia="Times New Roman" w:cs="Times New Roman"/>
          <w:b w:val="0"/>
          <w:sz w:val="24"/>
        </w:rPr>
        <w:t>2.</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The Company has the requisite corporate power and authority to execute, deliver and perform all of its obligations under the Transaction Documents, including, without limitation, the issuance of the Shares, the Warrants and the Warrant Shares, in accordance with the terms thereof. The execution and delivery of the Transaction Documents by the Company and the consummation by it of the transactions contemplated therein (including, without limitation, the issuance and sale of the Shares, the Warrants and the Warrant Shares) have been duly authorized by the Company's Board of Directors and no further consent or authorization of the Company, its Board of Directors or its stockholders is required therefor. The Transaction Documents have been duly executed and delivered by the Company. The Transaction Documents constitute valid and binding agreements or obligations of the Company, enforceable against the Company in accordance with their respective terms.</w:t>
      </w:r>
    </w:p>
    <w:p>
      <w:pPr>
        <w:keepNext w:val="0"/>
        <w:spacing w:before="120" w:after="0" w:line="260" w:lineRule="exact"/>
        <w:ind w:left="360" w:right="0" w:firstLine="0"/>
        <w:jc w:val="left"/>
      </w:pPr>
      <w:r>
        <w:rPr>
          <w:rFonts w:ascii="Times New Roman" w:hAnsi="Times New Roman" w:eastAsia="Times New Roman" w:cs="Times New Roman"/>
          <w:b w:val="0"/>
          <w:sz w:val="24"/>
        </w:rPr>
        <w:t>3.</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The execution, delivery and performance of the Transaction Documents by the Company and the consummation by the Company of the transactions contemplated thereby, including, without limitation, the issuance of the Shares, the Warrants and the Warrant Shares, and the compliance by the Company with the terms thereof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do not and will not result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violation of, or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default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which, with the giving of notice or lapse of time or both, constitutes or would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default) under, or give rise to any right of termination, cancellation or acceleration under, (i) the Company's Certificate of Incorporation or Bylaws, (ii) any other agreement, note, lease, mortgage, deed or other instrument to which the Company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or by which the Company is bound or affected that has been publicly filed (the "</w:t>
      </w:r>
      <w:r>
        <w:rPr>
          <w:rFonts w:ascii="Times New Roman" w:hAnsi="Times New Roman" w:eastAsia="Times New Roman" w:cs="Times New Roman"/>
          <w:b/>
          <w:sz w:val="24"/>
        </w:rPr>
        <w:t>Publicly Filed Documents</w:t>
      </w:r>
      <w:r>
        <w:rPr>
          <w:rFonts w:ascii="Times New Roman" w:hAnsi="Times New Roman" w:eastAsia="Times New Roman" w:cs="Times New Roman"/>
          <w:b w:val="0"/>
          <w:sz w:val="24"/>
        </w:rPr>
        <w:t>") or (iii) any applicable statute, law, rule or regulation or any order, writ, injunction or decree of the United States, the Principal Market, or the State of [name of State], and (b) do not and will not result in or require the creation of any lien, security interest or other charge or encumbrance (other than pursuant to the Transactions Documents) upon or with respect to any of its respective properties.</w:t>
      </w:r>
    </w:p>
    <w:p>
      <w:pPr>
        <w:keepNext w:val="0"/>
        <w:spacing w:before="120" w:after="0" w:line="260" w:lineRule="exact"/>
        <w:ind w:left="360" w:right="0" w:firstLine="0"/>
        <w:jc w:val="left"/>
      </w:pPr>
      <w:r>
        <w:rPr>
          <w:rFonts w:ascii="Times New Roman" w:hAnsi="Times New Roman" w:eastAsia="Times New Roman" w:cs="Times New Roman"/>
          <w:b w:val="0"/>
          <w:sz w:val="24"/>
        </w:rPr>
        <w:t>4.</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When so issued, the Shares, the Warrants and the Warrant Shares will be duly authorized and validly issued, fully paid and nonassessable, and free of any all liens and charges and preemptive or similar rights contained in the Company's Articles of Incorporation or Bylaws or any agreement, note, lease, publicly filed mortgage deed or other instrument to which the Company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or by which the Company is bound that are Publicly Filed Documents. The Warrant Shares have been duly and validly authorized and reserved for issuance by all proper corporate action.</w:t>
      </w:r>
    </w:p>
    <w:p>
      <w:pPr>
        <w:keepNext w:val="0"/>
        <w:spacing w:before="120" w:after="0" w:line="260" w:lineRule="exact"/>
        <w:ind w:left="360" w:right="0" w:firstLine="0"/>
        <w:jc w:val="left"/>
      </w:pPr>
      <w:r>
        <w:rPr>
          <w:rFonts w:ascii="Times New Roman" w:hAnsi="Times New Roman" w:eastAsia="Times New Roman" w:cs="Times New Roman"/>
          <w:b w:val="0"/>
          <w:sz w:val="24"/>
        </w:rPr>
        <w:t>5.</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None of the Common Stock or preferred stock of the Company is subject to preemptive rights or other rights of the stockholders of the Company pursuant to the Certificate of Incorporation or the Bylaws or under the [General Corporation Law of the State of Incorporation] or pursuant to any agreement, note, lease, mortgage deed or other instrument to which the Company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or by which the Company is bound that is Publicly Filed Document. There are no securities or instruments of the Company containing anti-dilution or similar provisions that will be triggered by the issuance of the Shares, the Warrants or the Warrant Shares.</w:t>
      </w:r>
    </w:p>
    <w:p>
      <w:pPr>
        <w:keepNext w:val="0"/>
        <w:spacing w:before="120" w:after="0" w:line="260" w:lineRule="exact"/>
        <w:ind w:left="360" w:right="0" w:firstLine="0"/>
        <w:jc w:val="left"/>
      </w:pPr>
      <w:r>
        <w:rPr>
          <w:rFonts w:ascii="Times New Roman" w:hAnsi="Times New Roman" w:eastAsia="Times New Roman" w:cs="Times New Roman"/>
          <w:b w:val="0"/>
          <w:sz w:val="24"/>
        </w:rPr>
        <w:t>6.</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The offer and sale of the Shares and the Warrants in accordance with the Securities Purchase Agreement and the issuance and delivery of the Warrant Shares in accordance with the Transaction Documents constitute transactions exempt from the registration requirements of the Securities Act of 1933, as amended.</w:t>
      </w:r>
    </w:p>
    <w:p>
      <w:pPr>
        <w:keepNext w:val="0"/>
        <w:spacing w:before="120" w:after="0" w:line="260" w:lineRule="exact"/>
        <w:ind w:left="360" w:right="0" w:firstLine="0"/>
        <w:jc w:val="left"/>
      </w:pPr>
      <w:r>
        <w:rPr>
          <w:rFonts w:ascii="Times New Roman" w:hAnsi="Times New Roman" w:eastAsia="Times New Roman" w:cs="Times New Roman"/>
          <w:b w:val="0"/>
          <w:sz w:val="24"/>
        </w:rPr>
        <w:t>7.</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No authorization, approval, consent, filing or other order of any federal or state governmental body, regulatory agency, self-regulatory organization or stock exchange or market, or the stockholders of the Company, or any court or to our knowledge, any third party, is required to be obtained by the Company to enter into and perform its obligations under the Transaction Documents, or for the issuance and sale of the Shares, Warrants or the Warrant Shares in accordance with the Transaction Documents or for the exercise of any rights and remedies under any Transaction Documents, except (i) the filing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 8-K pursuant to the Securities Exchange Act of 1934, as amended and (ii) any action necessary in order to qualify the Shares, the Warrants and the Warrant Shares under applicable securities or “Blue Sky” laws of the states of the United States.</w:t>
      </w:r>
    </w:p>
    <w:p>
      <w:pPr>
        <w:keepNext w:val="0"/>
        <w:spacing w:before="120" w:after="0" w:line="260" w:lineRule="exact"/>
        <w:ind w:left="360" w:right="0" w:firstLine="0"/>
        <w:jc w:val="left"/>
      </w:pPr>
      <w:r>
        <w:rPr>
          <w:rFonts w:ascii="Times New Roman" w:hAnsi="Times New Roman" w:eastAsia="Times New Roman" w:cs="Times New Roman"/>
          <w:b w:val="0"/>
          <w:sz w:val="24"/>
        </w:rPr>
        <w:t>8.</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To our knowledge, no action, suit, proceeding, inquiry or investigation before or by any court, public board or body or any governmental agency or self-regulatory organization is pending or threatened against the Company or any of its Subsidiaries or any of the properties or assets of the Company or any of its Subsidiaries.</w:t>
      </w:r>
    </w:p>
    <w:p>
      <w:pPr>
        <w:keepNext w:val="0"/>
        <w:spacing w:before="120" w:after="0" w:line="260" w:lineRule="exact"/>
        <w:ind w:left="360" w:right="0" w:firstLine="0"/>
        <w:jc w:val="left"/>
      </w:pPr>
      <w:r>
        <w:rPr>
          <w:rFonts w:ascii="Times New Roman" w:hAnsi="Times New Roman" w:eastAsia="Times New Roman" w:cs="Times New Roman"/>
          <w:b w:val="0"/>
          <w:sz w:val="24"/>
        </w:rPr>
        <w:t>9.</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The Company is not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"investment company" or any entity controlled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"investment company," as such term is defined in the Investment Company Act of 1940, as amended.</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