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Legality (Exhibit 5) Opinion: Dividend Reinvestment and Stock Purchase Plans</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[Firm letterhead]</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[Company name]</w:t>
      </w:r>
    </w:p>
    <w:p>
      <w:pPr>
        <w:keepNext w:val="0"/>
        <w:spacing w:before="200" w:after="0" w:line="260" w:lineRule="exact"/>
        <w:ind w:left="360" w:right="0" w:firstLine="0"/>
        <w:jc w:val="both"/>
      </w:pPr>
      <w:r>
        <w:rPr>
          <w:rFonts w:ascii="Times New Roman" w:hAnsi="Times New Roman" w:eastAsia="Times New Roman" w:cs="Times New Roman"/>
          <w:b w:val="0"/>
          <w:sz w:val="24"/>
        </w:rPr>
        <w:t>[Company address]</w:t>
      </w:r>
    </w:p>
    <w:p>
      <w:pPr>
        <w:keepNext w:val="0"/>
        <w:spacing w:before="200" w:after="0" w:line="260" w:lineRule="exact"/>
        <w:ind w:left="360" w:right="0" w:firstLine="0"/>
        <w:jc w:val="both"/>
      </w:pPr>
      <w:r>
        <w:rPr>
          <w:rFonts w:ascii="Times New Roman" w:hAnsi="Times New Roman" w:eastAsia="Times New Roman" w:cs="Times New Roman"/>
          <w:b w:val="0"/>
          <w:sz w:val="24"/>
        </w:rPr>
        <w:t>Ladies and Gentlemen: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have acted as counsel to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 (the “Company”), in connection with its preparation and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on Form S-3, as may be amended or supplemented from time to time (the “Registration Statement”), with the Securities and Exchange Commission (the “SEC”) under the Securities Act of 1933, as amended (the “Securities Act”), relating to the registration of [NUMBER OF SHARES TO BE REGISTERED] of the Company's common stock, par value $ [PAR VALUE], per share (the “Shares”), which may be issued pursuant to the Company's Dividend Reinvestment and Stock Purchase Plan (the “Plan”).</w:t>
      </w:r>
    </w:p>
    <w:p>
      <w:pPr>
        <w:keepNext w:val="0"/>
        <w:spacing w:before="200" w:after="0" w:line="260" w:lineRule="exact"/>
        <w:ind w:left="720" w:right="0" w:firstLine="0"/>
        <w:jc w:val="both"/>
      </w:pPr>
      <w:r>
        <w:rPr>
          <w:rFonts w:ascii="Times New Roman" w:hAnsi="Times New Roman" w:eastAsia="Times New Roman" w:cs="Times New Roman"/>
          <w:b w:val="0"/>
          <w:sz w:val="24"/>
        </w:rPr>
        <w:t>We have reviewed such documents and made such examination of law as we have deemed appropriate to render the opinion set forth below. We have assumed the genuineness of all signatures; the legal capacity of all natural persons; the authenticity of all documents submitted to us as originals and the conformity to original documents of documents submitted to us as copies; the accuracy, completeness, and authenticity of certificates of public officials; and the due authorization, execution, and delivery of all documents where such matters are prerequisites to the effectiveness of such documents. As to all matters of fact relevant to our opinion, we have relied exclusively, without independent verification, on the above-described documents and certificates of officers of the Company. We have also assumed that the Registration Statement will be effective and will comply with all applicable laws when the Shares are offered and sold as contemplated by the Registration Statement.</w:t>
      </w:r>
    </w:p>
    <w:p>
      <w:pPr>
        <w:keepNext w:val="0"/>
        <w:spacing w:before="200" w:after="0" w:line="260" w:lineRule="exact"/>
        <w:ind w:left="720" w:right="0" w:firstLine="0"/>
        <w:jc w:val="both"/>
      </w:pPr>
      <w:r>
        <w:rPr>
          <w:rFonts w:ascii="Times New Roman" w:hAnsi="Times New Roman" w:eastAsia="Times New Roman" w:cs="Times New Roman"/>
          <w:b w:val="0"/>
          <w:sz w:val="24"/>
        </w:rPr>
        <w:t>Based upon, and subject to the foregoing, we are of the opinion that the Shares have been duly authorized and, when issued and paid for in the manner provided in the Plan and the Registration Statement, will be validly [legally] issued, fully paid, and non-assessable.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law covered by the opinion expressed herein is limited to the [Delaware General Corporation Law] and we do not express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as to the laws of any other jurisdiction.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hereby consent to the filing of this opinion letter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to the Registration Statement and to the reference to our firm under the caption “Legal Matters” in the prospectus included in the Registration Statement. In giving this consent, we do not thereby admit that we 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“expert” within the meaning of the Securities Act or that we are otherwise within the category of persons whose consent is required under Section 7 of the Securities Act or the rules and regulations of the SEC thereunder.</w:t>
      </w:r>
    </w:p>
    <w:p>
      <w:pPr>
        <w:keepNext w:val="0"/>
        <w:spacing w:before="200" w:after="0" w:line="260" w:lineRule="exact"/>
        <w:ind w:left="360" w:right="0" w:firstLine="0"/>
        <w:jc w:val="right"/>
      </w:pPr>
      <w:r>
        <w:rPr>
          <w:rFonts w:ascii="Times New Roman" w:hAnsi="Times New Roman" w:eastAsia="Times New Roman" w:cs="Times New Roman"/>
          <w:b w:val="0"/>
          <w:sz w:val="24"/>
        </w:rPr>
        <w:t>Very truly yours,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