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Requesting the Appointment of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Equity Committee</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[Law Firm Letterhead]</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[manner of delivery, e.g. via Federal Express, e-mail, certified mail, facsimile, etc.]</w:t>
      </w:r>
    </w:p>
    <w:p>
      <w:pPr>
        <w:keepNext w:val="0"/>
        <w:spacing w:before="200" w:after="0" w:line="260" w:lineRule="exact"/>
        <w:ind w:left="360" w:right="0" w:firstLine="0"/>
        <w:jc w:val="both"/>
      </w:pPr>
      <w:r>
        <w:rPr>
          <w:rFonts w:ascii="Times New Roman" w:hAnsi="Times New Roman" w:eastAsia="Times New Roman" w:cs="Times New Roman"/>
          <w:b w:val="0"/>
          <w:sz w:val="24"/>
        </w:rPr>
        <w:t>[U.S. Trustee’s name]</w:t>
      </w:r>
    </w:p>
    <w:p>
      <w:pPr>
        <w:keepNext w:val="0"/>
        <w:spacing w:before="200" w:after="0" w:line="260" w:lineRule="exact"/>
        <w:ind w:left="360" w:right="0" w:firstLine="0"/>
        <w:jc w:val="both"/>
      </w:pPr>
      <w:r>
        <w:rPr>
          <w:rFonts w:ascii="Times New Roman" w:hAnsi="Times New Roman" w:eastAsia="Times New Roman" w:cs="Times New Roman"/>
          <w:b w:val="0"/>
          <w:sz w:val="24"/>
        </w:rPr>
        <w:t>[U.S. Trustee’s address]</w:t>
      </w:r>
    </w:p>
    <w:p>
      <w:pPr>
        <w:keepNext w:val="0"/>
        <w:spacing w:before="200" w:after="0" w:line="260" w:lineRule="exact"/>
        <w:ind w:left="360" w:right="0" w:firstLine="0"/>
        <w:jc w:val="both"/>
      </w:pPr>
      <w:r>
        <w:rPr>
          <w:rFonts w:ascii="Times New Roman" w:hAnsi="Times New Roman" w:eastAsia="Times New Roman" w:cs="Times New Roman"/>
          <w:b w:val="0"/>
          <w:sz w:val="24"/>
        </w:rPr>
        <w:t>Re: In re [debtor name], et. al, Case No. [number], (Jointly Administered)</w:t>
      </w:r>
    </w:p>
    <w:p>
      <w:pPr>
        <w:keepNext w:val="0"/>
        <w:spacing w:before="200" w:after="0" w:line="260" w:lineRule="exact"/>
        <w:ind w:left="360" w:right="0" w:firstLine="0"/>
        <w:jc w:val="both"/>
      </w:pPr>
      <w:r>
        <w:rPr>
          <w:rFonts w:ascii="Times New Roman" w:hAnsi="Times New Roman" w:eastAsia="Times New Roman" w:cs="Times New Roman"/>
          <w:b w:val="0"/>
          <w:sz w:val="24"/>
        </w:rPr>
        <w:t>Dear [U.S. Trustee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write on behalf of [those parties identified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hereto], each of which owns [common] stock in [debtor name] (“[debtor name]” and, together with its affiliated debtors, the “</w:t>
      </w:r>
      <w:r>
        <w:rPr>
          <w:rFonts w:ascii="Times New Roman" w:hAnsi="Times New Roman" w:eastAsia="Times New Roman" w:cs="Times New Roman"/>
          <w:b w:val="0"/>
          <w:sz w:val="24"/>
        </w:rPr>
        <w:t>Debtors</w:t>
      </w:r>
      <w:r>
        <w:rPr>
          <w:rFonts w:ascii="Times New Roman" w:hAnsi="Times New Roman" w:eastAsia="Times New Roman" w:cs="Times New Roman"/>
          <w:b w:val="0"/>
          <w:sz w:val="24"/>
        </w:rPr>
        <w:t xml:space="preserve">”). These equity holders respectfully request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Official Committee of Equity Security Holders pursuant to Section 1102(</w:t>
      </w:r>
      <w:r>
        <w:rPr>
          <w:rFonts w:ascii="Times New Roman" w:hAnsi="Times New Roman" w:eastAsia="Times New Roman" w:cs="Times New Roman"/>
          <w:b/>
          <w:sz w:val="24"/>
        </w:rPr>
        <w:t>a</w:t>
      </w:r>
      <w:r>
        <w:rPr>
          <w:rFonts w:ascii="Times New Roman" w:hAnsi="Times New Roman" w:eastAsia="Times New Roman" w:cs="Times New Roman"/>
          <w:b w:val="0"/>
          <w:sz w:val="24"/>
        </w:rPr>
        <w:t>)(1)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Equity Committee</w:t>
      </w:r>
      <w:r>
        <w:rPr>
          <w:rFonts w:ascii="Times New Roman" w:hAnsi="Times New Roman" w:eastAsia="Times New Roman" w:cs="Times New Roman"/>
          <w:b w:val="0"/>
          <w:sz w:val="24"/>
        </w:rPr>
        <w:t xml:space="preserve">”). As set forth herein,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Committee is necessary and appropriate to ensure adequate representation of the shareholders in the above-referenced Chapter 11 cases.</w:t>
      </w:r>
    </w:p>
    <w:p>
      <w:pPr>
        <w:keepNext w:val="0"/>
        <w:spacing w:before="120" w:after="0" w:line="260" w:lineRule="exact"/>
        <w:ind w:left="36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Applicable Legal Standard</w:t>
      </w:r>
    </w:p>
    <w:p>
      <w:pPr>
        <w:keepNext w:val="0"/>
        <w:spacing w:before="200" w:after="0" w:line="260" w:lineRule="exact"/>
        <w:ind w:left="720" w:right="0" w:firstLine="0"/>
        <w:jc w:val="both"/>
      </w:pPr>
      <w:r>
        <w:rPr>
          <w:rFonts w:ascii="Times New Roman" w:hAnsi="Times New Roman" w:eastAsia="Times New Roman" w:cs="Times New Roman"/>
          <w:b w:val="0"/>
          <w:sz w:val="24"/>
        </w:rPr>
        <w:t>As you know, Section 1102(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Bankruptcy Code authorizes the United States Trustee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 equity security holders as he or she “deems appropriate.” 11 U.S.C. § 1102(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The United States Trustee has wide discretion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 equity security holders under Section 1102(</w:t>
      </w:r>
      <w:r>
        <w:rPr>
          <w:rFonts w:ascii="Times New Roman" w:hAnsi="Times New Roman" w:eastAsia="Times New Roman" w:cs="Times New Roman"/>
          <w:b/>
          <w:sz w:val="24"/>
        </w:rPr>
        <w:t>a</w:t>
      </w:r>
      <w:r>
        <w:rPr>
          <w:rFonts w:ascii="Times New Roman" w:hAnsi="Times New Roman" w:eastAsia="Times New Roman" w:cs="Times New Roman"/>
          <w:b w:val="0"/>
          <w:sz w:val="24"/>
        </w:rPr>
        <w:t>)(1). Section 1102(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continues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may order the appointment of, among others,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 equity security holders “if necessary to assure adequate representation.” 11 U.S.C. § 1102(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The United States Trustee generally looks to the same factors analyzed by bankruptcy courts in reviewing its decisions on whether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 equity holders. Thus, the “adequate representation” standard under Section 1102(</w:t>
      </w:r>
      <w:r>
        <w:rPr>
          <w:rFonts w:ascii="Times New Roman" w:hAnsi="Times New Roman" w:eastAsia="Times New Roman" w:cs="Times New Roman"/>
          <w:b/>
          <w:sz w:val="24"/>
        </w:rPr>
        <w:t>a</w:t>
      </w:r>
      <w:r>
        <w:rPr>
          <w:rFonts w:ascii="Times New Roman" w:hAnsi="Times New Roman" w:eastAsia="Times New Roman" w:cs="Times New Roman"/>
          <w:b w:val="0"/>
          <w:sz w:val="24"/>
        </w:rPr>
        <w:t>)(2) is instructive with respect to the United States Trustee’s exercise of discretion to appoint additional official committees under Section 1102(</w:t>
      </w:r>
      <w:r>
        <w:rPr>
          <w:rFonts w:ascii="Times New Roman" w:hAnsi="Times New Roman" w:eastAsia="Times New Roman" w:cs="Times New Roman"/>
          <w:b/>
          <w:sz w:val="24"/>
        </w:rPr>
        <w:t>a</w:t>
      </w: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Courts examine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variety of factors in determining whether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official committee of equity holders, including:</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Whether the shares are widely held and publicly traded;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size and complexity of the Chapter 11 case;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Whether the cost to the estate outweighs the adequate representation of the shareholders;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likelihood of whether the debtors are insolvent;</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timing of the motion relative to the status of the Chapter 11 case; and</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Whether the interests of shareholders are already represented.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See Exide Techs. v. Wis. Inv. Bd., 2002 U.S. Dist. LEXIS 27210 (D. Del. Dec. 23, 2002) (affirming the bankruptcy court’s decision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committee pursuant to Section 1102(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of the Bankruptcy Code based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analysis of various factors); see generally In re Eastman Kodak Co., 2013 Bankr. LEXIS 3325 (Bankr. S.D.N.Y. 2013); In re Nat’l R.V. Holdings, Inc., 390 B.R. 690 (Bankr. C.D. Cal. 2008); In re Kalvar Microfilm, 195 B.R. 599 (Bankr. D. Del. 1996); In re Johns-Manville Corp. 68 B.R. 155, 159 (S.D. N.Y. 1986); In re Beker Indus. Corp., 55 B.R. 945, 951 (Bankr. S.D.N.Y. 1985). “No one factor is dispositive, and the relative weight that should be afforded to the various factors depends on the circumstances of the particular reorganization case.” Kalvar, 195 B.R. at 600.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these cases, each of these factors favors establishing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Committee.</w:t>
      </w:r>
    </w:p>
    <w:p>
      <w:pPr>
        <w:keepNext w:val="0"/>
        <w:spacing w:before="120" w:after="0" w:line="260" w:lineRule="exact"/>
        <w:ind w:left="36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Equity Committee Should Be Appointed in These Cases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Equity Committee is Necessary for Adequate Representation of Shareholders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Neither the Debtors nor the creditors’ committee is representing the interests of shareholders. Courts have routinely held that once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nears insolvency, the directors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duty to the corporation’s creditors. See, e.g., In re Kingston Square Assocs., 214 B.R. 713, 735 (Bankr. S.D.N.Y. 1997) (it is “universally agreed that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approaches insolvency or actually becomes insolvent, directors’ fiduciary duties expand to include general creditors”); see also In re Pilgrim’s Pride Corp., 407 B.R. 211 (Bankr. N.D. Tex. 2009) (appointing equity committee after determining the debtor was likely to prove solvent and board would not adequately protect interests of equity security holders). In bankruptcy, the directors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maximize the estate’s value, but such duty does not extend to ensuring that shareholders’ interests are adequately represented. As one court stated: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While it is unquestionably true that Debtors' officers and directors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maximize Debtors' estates to the benefit of shareholders as well as creditors, the reorganization process is not so simple that that ensures shareholders are adequately represented by even equity-owning management. The principal concern of Debtors and their managers . . . must be preservation of Debtors' going concern value and their successful emergence from chapter 11. That will occur through confirmation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reorganization. Confirmation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in turn, is heavily dependent upon Debtors reaching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accord with the UCC and the Banks.</w:t>
      </w:r>
    </w:p>
    <w:p>
      <w:pPr>
        <w:keepNext w:val="0"/>
        <w:spacing w:before="200" w:after="0" w:line="260" w:lineRule="exact"/>
        <w:ind w:left="1440" w:right="0" w:firstLine="0"/>
        <w:jc w:val="center"/>
      </w:pPr>
      <w:r>
        <w:rPr>
          <w:rFonts w:ascii="Times New Roman" w:hAnsi="Times New Roman" w:eastAsia="Times New Roman" w:cs="Times New Roman"/>
          <w:b w:val="0"/>
          <w:sz w:val="24"/>
        </w:rPr>
        <w:t>*</w:t>
        <w:tab/>
        <w:t>*</w:t>
        <w:tab/>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UCC confuses management's duty to maximize estate value with the adequate representation of equity. The former function . . . does not equate to valuation for purposes of determining entitlement to treatment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w:t>
      </w:r>
    </w:p>
    <w:p>
      <w:pPr>
        <w:keepNext w:val="0"/>
        <w:spacing w:before="200" w:after="0" w:line="260" w:lineRule="exact"/>
        <w:ind w:left="1080" w:right="0" w:firstLine="0"/>
        <w:jc w:val="both"/>
      </w:pPr>
      <w:r>
        <w:rPr>
          <w:rFonts w:ascii="Times New Roman" w:hAnsi="Times New Roman" w:eastAsia="Times New Roman" w:cs="Times New Roman"/>
          <w:b w:val="0"/>
          <w:sz w:val="24"/>
        </w:rPr>
        <w:t>Pilgrim's Pride, 407 B.R. at 218 (internal citations omitted). In this case, [add facts supporting the contention that management is not protecting shareholder value].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creditors’ committee also does not owe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shareholders. Rather, the creditors’ committee owes its fiduciary duties only to general unsecured creditors. See Pan Am. Corp. v. Delta Air Lines, 175 B.R. 438, 514 (S.D.N.Y. 1994) (creditors committee owes fiduciary duty only to class of creditors, not to debtor or any other party). Shareholders have divergent interests from the debtor’s secured and unsecured creditors.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creditors committee is more likely to adopt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strategy that increases recovery for unsecured creditors in the short term than pursue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strategy that increases the debtor’s value in the long run to the benefit of equity holders. Thus, it is not reasonable or appropriate to expect the creditors’ committee to negotiate on behalf of shareholders. In this case, the creditors’ committee [add detail on the path the committee is supporting and how that path does not protect shareholders].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formation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Committee ensures that the shareholders are adequately represented during the bankruptcy proceeding. Shareholders deserve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seat at the table as these cases head [toward confirmation]. [add specific arguments concerning the need for equity committee].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Debtors are not Hopelessly Insolvent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addressing the solvency issue, courts routinely assess whether the debtor is “hopelessly insolvent.” Exide, 2002 U.S. Dist. LEXIS 27210 at * 4.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 is marginally solvent, courts maintain that shareholders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meaningful interest in the proceeding and therefore the shareholders should be entitled to the benefit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committee to represent their interests, notwithstanding the cost to the estate. In re Wang Laboratories Inc., 149 B.R. 1, 3 (Bankr. D. Mass. 1992).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question of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 is “hopelessly insolvent” will not turn on whether recovery to the shareholders is guaranteed. Id. Rather, the bankruptcy court will look to certain economic indicators which may demonstrate that the shareholders may not, in fact, be “out of the money.” See In re Mansfield Ferrous Castings Inc., 96 B.R. 779, 781 (Bank. N.D. Ohio 1988) (holding that insolvency does not per se prohibit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committee as the court will consider all of the facts of the case).</w:t>
      </w:r>
    </w:p>
    <w:p>
      <w:pPr>
        <w:keepNext w:val="0"/>
        <w:spacing w:before="200" w:after="0" w:line="260" w:lineRule="exact"/>
        <w:ind w:left="1080" w:right="0" w:firstLine="0"/>
        <w:jc w:val="both"/>
      </w:pPr>
      <w:r>
        <w:rPr>
          <w:rFonts w:ascii="Times New Roman" w:hAnsi="Times New Roman" w:eastAsia="Times New Roman" w:cs="Times New Roman"/>
          <w:b w:val="0"/>
          <w:sz w:val="24"/>
        </w:rPr>
        <w:t>In this case, [add facts regarding solvency and valuation]</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The Need for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Equity Committee Outweighs the Costs to the Debtors’ Estate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mentioned, the bankruptcy court weighs the need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committee against the additional costs to the estate. See Wang Laboratories, 149 B.R. at 4. Nevertheless, courts caution that “the potential added cost is not sufficient in itself to deprive the creditors of the formation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committee if one is otherwise appropriate.” In re Interco Inc., 141 B.R. 422, 424 (Bankr. E.D. Mo. 1992); see also In re McLean Indus. Inc., 70 B.R. 852, 860 (Bankr. S.D.N.Y. 1987) (“costs alone cannot, and should not, deprive public debt and security-holders of representation”). Here, [add arguments why fees will not be large, e.g., appointed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short time after the plan is filed, and summarize why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committee is needed (as specified in the previous paragraphs)].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Further, Section 330 of the Bankruptcy Code ensures that the costs will remain under control. Section 330 sets forth the reasonableness standard for awarding compensation and reimbursement of expenses to committees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estate. Thus, the Bankruptcy Court will ensure that the costs of the Equity Committee are reasonable. In addition, the Equity Committee’s fees and expenses will certainly be subject to scrutiny (and potential objections) from other parties in these cases. [add specific arguments as to the reasonableness of fees].</w:t>
      </w:r>
    </w:p>
    <w:p>
      <w:pPr>
        <w:keepNext w:val="0"/>
        <w:spacing w:before="200" w:after="0" w:line="260" w:lineRule="exact"/>
        <w:ind w:left="1080" w:right="0" w:firstLine="0"/>
        <w:jc w:val="both"/>
      </w:pPr>
      <w:r>
        <w:rPr>
          <w:rFonts w:ascii="Times New Roman" w:hAnsi="Times New Roman" w:eastAsia="Times New Roman" w:cs="Times New Roman"/>
          <w:b w:val="0"/>
          <w:sz w:val="24"/>
        </w:rPr>
        <w:t>In sum, the need for the Equity Committee far outweighs the costs to the estate especially because such costs will be monitored, and the bankruptcy court must find any fees and expenses reasonable.</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Debtors’ Cases are Large and Complex</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Committee should also be appointed because the cases are large and complex. The Debtors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complex corporate structure and all, or substantially all, of the [debtor name]’s affiliates filed for bankruptcy protection together. [add detail regarding the number of debtors, business operations, etc.]</w:t>
      </w:r>
    </w:p>
    <w:p>
      <w:pPr>
        <w:keepNext w:val="0"/>
        <w:spacing w:before="200" w:after="0" w:line="260" w:lineRule="exact"/>
        <w:ind w:left="1080" w:right="0" w:firstLine="0"/>
        <w:jc w:val="both"/>
      </w:pPr>
      <w:r>
        <w:rPr>
          <w:rFonts w:ascii="Times New Roman" w:hAnsi="Times New Roman" w:eastAsia="Times New Roman" w:cs="Times New Roman"/>
          <w:b w:val="0"/>
          <w:sz w:val="24"/>
        </w:rPr>
        <w:t>The Debtors’ capital structure is also complex. [add detail regarding capital structure, credit facilities, etc.].</w:t>
      </w:r>
    </w:p>
    <w:p>
      <w:pPr>
        <w:keepNext w:val="0"/>
        <w:spacing w:before="200" w:after="0" w:line="260" w:lineRule="exact"/>
        <w:ind w:left="1080" w:right="0" w:firstLine="0"/>
        <w:jc w:val="both"/>
      </w:pPr>
      <w:r>
        <w:rPr>
          <w:rFonts w:ascii="Times New Roman" w:hAnsi="Times New Roman" w:eastAsia="Times New Roman" w:cs="Times New Roman"/>
          <w:b w:val="0"/>
          <w:sz w:val="24"/>
        </w:rPr>
        <w:t>In large, complex Chapter 11 cases, official equity committees tend to be appointed to where value may be available for shareholders (or the value to shareholders is indeterminable). See, e.g., In re Horsehead Holding Corp., 2016 Bankr. LEXIS 3187 (Bankr. D. Del. May 2, 2016); In re Energy XXI Ltd., Case No. 16-31928 (Bankr. S.D. Tex. 2016); In re Genco Shipping and Trading Ltd., No. 14-11108-SHL (Bankr. S.D.N.Y. May 9, 2014); In re Trident Microsystems, Inc., No. 12-10069-CSS (Bankr. D. Del. Feb. 14, 2012); In re Pilgrim's Pride Corp., 407 BR 211 (Bankr. N.D. Tex. 2009); In re Oneida Ltd., 2006 Bankr. LEXIS 780 (Bankr. S.D.N.Y. May 4, 2006); In re Loral Space &amp; Communications Ltd., Case No. 03-41710 (Bankr. S.D.N.Y. 2003); In re Mirant Corp., Case No. 03-46590 (Bankr. N.D. Texas 2003); In re Adelphia Communications Corp., Case No. 02-41729 (Bankr. S.D.N.Y. 2002).</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Request is Timely</w:t>
      </w:r>
    </w:p>
    <w:p>
      <w:pPr>
        <w:keepNext w:val="0"/>
        <w:spacing w:before="200" w:after="0" w:line="260" w:lineRule="exact"/>
        <w:ind w:left="1080" w:right="0" w:firstLine="0"/>
        <w:jc w:val="both"/>
      </w:pPr>
      <w:r>
        <w:rPr>
          <w:rFonts w:ascii="Times New Roman" w:hAnsi="Times New Roman" w:eastAsia="Times New Roman" w:cs="Times New Roman"/>
          <w:b w:val="0"/>
          <w:sz w:val="24"/>
        </w:rPr>
        <w:t>[explain the status of the case relative to when the request was made]</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Debtors’ Shares are Widely Held and Publicly Traded</w:t>
      </w:r>
    </w:p>
    <w:p>
      <w:pPr>
        <w:keepNext w:val="0"/>
        <w:spacing w:before="200" w:after="0" w:line="260" w:lineRule="exact"/>
        <w:ind w:left="1080" w:right="0" w:firstLine="0"/>
        <w:jc w:val="both"/>
      </w:pPr>
      <w:r>
        <w:rPr>
          <w:rFonts w:ascii="Times New Roman" w:hAnsi="Times New Roman" w:eastAsia="Times New Roman" w:cs="Times New Roman"/>
          <w:b w:val="0"/>
          <w:sz w:val="24"/>
        </w:rPr>
        <w:t>[Add details concerning the numbers of shares and the public trading of shares]</w:t>
      </w:r>
    </w:p>
    <w:p>
      <w:pPr>
        <w:keepNext w:val="0"/>
        <w:spacing w:before="200" w:after="0" w:line="260" w:lineRule="exact"/>
        <w:ind w:left="1080" w:right="0" w:firstLine="0"/>
        <w:jc w:val="center"/>
      </w:pPr>
      <w:r>
        <w:rPr>
          <w:rFonts w:ascii="Times New Roman" w:hAnsi="Times New Roman" w:eastAsia="Times New Roman" w:cs="Times New Roman"/>
          <w:b w:val="0"/>
          <w:sz w:val="24"/>
        </w:rPr>
        <w:t>*</w:t>
        <w:tab/>
        <w:t>*</w:t>
        <w:tab/>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all of the foregoing reasons, the [shareholders or Ad Hoc Committee] respectfully request that the United States Trustee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Committee to ensure adequate representation for the shareholders. Thank you for your prompt attention to this matter. Please call me if you have any questions.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[Law firm]</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line]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[fax]</w:t>
      </w:r>
    </w:p>
    <w:p>
      <w:pPr>
        <w:keepNext w:val="0"/>
        <w:spacing w:before="120" w:after="0" w:line="260" w:lineRule="exact"/>
        <w:ind w:left="360" w:right="0" w:firstLine="0"/>
        <w:jc w:val="left"/>
      </w:pPr>
      <w:r>
        <w:rPr>
          <w:rFonts w:ascii="Times New Roman" w:hAnsi="Times New Roman" w:eastAsia="Times New Roman" w:cs="Times New Roman"/>
          <w:b w:val="0"/>
          <w:sz w:val="24"/>
        </w:rPr>
        <w:t>[e-mail]</w:t>
      </w:r>
    </w:p>
    <w:p>
      <w:pPr>
        <w:keepNext w:val="0"/>
        <w:spacing w:before="120" w:after="0" w:line="260" w:lineRule="exact"/>
        <w:ind w:left="360" w:right="0" w:firstLine="0"/>
        <w:jc w:val="left"/>
      </w:pPr>
      <w:r>
        <w:rPr>
          <w:rFonts w:ascii="Times New Roman" w:hAnsi="Times New Roman" w:eastAsia="Times New Roman" w:cs="Times New Roman"/>
          <w:b w:val="0"/>
          <w:sz w:val="24"/>
        </w:rPr>
        <w:t>cc: [any individuals to be copied on the letter]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