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w:t>
        <w:tab/>
        <w:t>Estate Planning Document Drafts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to enclose for your review and approval drafts of the following documents:</w:t>
      </w:r>
    </w:p>
    <w:p>
      <w:pPr>
        <w:keepNext w:val="0"/>
        <w:spacing w:before="120" w:after="0" w:line="260" w:lineRule="exact"/>
        <w:ind w:left="720" w:right="0" w:firstLine="0"/>
        <w:jc w:val="left"/>
      </w:pPr>
      <w:r>
        <w:rPr>
          <w:rFonts w:ascii="Times New Roman" w:hAnsi="Times New Roman" w:eastAsia="Times New Roman" w:cs="Times New Roman"/>
          <w:b/>
          <w:sz w:val="24"/>
        </w:rPr>
        <w:t>Last Will and Testament.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Last Wills and Testaments govern the disposition of any property held in your individual names at the time of your death. They also provide for the administration of that property, the payment of your debts, expenses of administration, and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who carries out the administration of your estate.</w:t>
      </w:r>
    </w:p>
    <w:p>
      <w:pPr>
        <w:keepNext w:val="0"/>
        <w:spacing w:before="120" w:after="0" w:line="260" w:lineRule="exact"/>
        <w:ind w:left="720" w:right="0" w:firstLine="0"/>
        <w:jc w:val="left"/>
      </w:pPr>
      <w:r>
        <w:rPr>
          <w:rFonts w:ascii="Times New Roman" w:hAnsi="Times New Roman" w:eastAsia="Times New Roman" w:cs="Times New Roman"/>
          <w:b/>
          <w:sz w:val="24"/>
        </w:rPr>
        <w:t>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Agreement(s)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sometimes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or Inter Vivos Trust. This Trust is entirely revocable and amendable by you during your lifetimes, but the terms become irrevocable at death. Any property that is transferred to the Trust(s) during your lifetimes or upon your deaths will be disposed of in accordance with the terms of the Trust Agreement upon your deaths.</w:t>
      </w:r>
    </w:p>
    <w:p>
      <w:pPr>
        <w:keepNext w:val="0"/>
        <w:spacing w:before="120" w:after="0" w:line="260" w:lineRule="exact"/>
        <w:ind w:left="720" w:right="0" w:firstLine="0"/>
        <w:jc w:val="left"/>
      </w:pPr>
      <w:r>
        <w:rPr>
          <w:rFonts w:ascii="Times New Roman" w:hAnsi="Times New Roman" w:eastAsia="Times New Roman" w:cs="Times New Roman"/>
          <w:b/>
          <w:sz w:val="24"/>
        </w:rPr>
        <w:t>Certification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of Trust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copy of your Trust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requesting third party. The Certification of Trust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minimal amount of information and thus, allows you to keep sensitive portions of your Trust Agreement, such as the disposition of property upon your death, confidential.</w:t>
      </w:r>
    </w:p>
    <w:p>
      <w:pPr>
        <w:keepNext w:val="0"/>
        <w:spacing w:before="120" w:after="0" w:line="260" w:lineRule="exact"/>
        <w:ind w:left="720" w:right="0" w:firstLine="0"/>
        <w:jc w:val="left"/>
      </w:pPr>
      <w:r>
        <w:rPr>
          <w:rFonts w:ascii="Times New Roman" w:hAnsi="Times New Roman" w:eastAsia="Times New Roman" w:cs="Times New Roman"/>
          <w:b/>
          <w:sz w:val="24"/>
        </w:rPr>
        <w:t>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Powers of Attorney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attorney-in-fact. Your attorney-in-fact is given the power to act on your behalf, as if you were present and acting, with respect to your property. When executing this document, you may specify the types of transactions that your attorney-in-fact can engage in on your behalf. Your Powers of Attorney are effective [immediately upon execution / upon your disability, as certified by the individuals stated in the document / upon your disability or incapacity,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w:t>
      </w:r>
    </w:p>
    <w:p>
      <w:pPr>
        <w:keepNext w:val="0"/>
        <w:spacing w:before="120" w:after="0" w:line="260" w:lineRule="exact"/>
        <w:ind w:left="720" w:right="0" w:firstLine="0"/>
        <w:jc w:val="left"/>
      </w:pPr>
      <w:r>
        <w:rPr>
          <w:rFonts w:ascii="Times New Roman" w:hAnsi="Times New Roman" w:eastAsia="Times New Roman" w:cs="Times New Roman"/>
          <w:b/>
          <w:sz w:val="24"/>
        </w:rPr>
        <w:t>Advance Health Care Directive.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Advance Health Care Directive allows you to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health care representative to make medical care decisions on your behalf when you lack the decision-making capacity. When signing this document, you must specify whether you wish to limit his or her decision-making authority. Further, this document enables you to state your preference concerning life-sustaining treatment. Additionally, the Advance Health Care Directive includes language related to the Health Insurance Portability and Accountability Act of 1996 (HIPAA) and authorizes your health care providers to disclose your medical records to your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to sign the final documents. I look forward to assisting you both through the remainder of the estate planning process.</w:t>
      </w: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tab/>
        <w:t>Estate Planning Document Drafts for [client name 1]</w:t>
      </w:r>
    </w:p>
    <w:p>
      <w:pPr>
        <w:keepNext w:val="0"/>
        <w:spacing w:before="200" w:after="0" w:line="260" w:lineRule="exact"/>
        <w:ind w:left="360" w:right="0" w:firstLine="0"/>
        <w:jc w:val="both"/>
      </w:pPr>
      <w:r>
        <w:rPr>
          <w:rFonts w:ascii="Times New Roman" w:hAnsi="Times New Roman" w:eastAsia="Times New Roman" w:cs="Times New Roman"/>
          <w:b w:val="0"/>
          <w:sz w:val="24"/>
        </w:rPr>
        <w:t>Estate Planning Document Drafts for [client name 2]</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