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client]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in regard to the [name of beneficiary] Supplemental Needs Trust Agreement dated [Month Day, 20__], which our firm has prepared for you, as [settlor of the trust/trustee of the trust/both settlor and trustee of the trust]. This letter addresses several important points that, as [settlor/trustee/both settlor and trustee], you need to be aware of when administering the trust. I recommend that you keep this letter for future reference.</w:t>
      </w:r>
    </w:p>
    <w:p>
      <w:pPr>
        <w:keepNext w:val="0"/>
        <w:spacing w:before="200" w:after="0" w:line="260" w:lineRule="exact"/>
        <w:ind w:left="360" w:right="0" w:firstLine="0"/>
        <w:jc w:val="both"/>
      </w:pPr>
      <w:r>
        <w:rPr>
          <w:rFonts w:ascii="Times New Roman" w:hAnsi="Times New Roman" w:eastAsia="Times New Roman" w:cs="Times New Roman"/>
          <w:b w:val="0"/>
          <w:sz w:val="24"/>
        </w:rPr>
        <w:t>In order to accomplish the long-term goals for which the trust was created, the settlor and trustee must adhere to the terms set forth in the trust document and the tax laws relating to trusts. If you have any questions about the tax laws relating to this trust, please do not hesitate to ask me or the individual who prepares your tax returns. The trust describes the responsibilities and the powers of the trustee(s). Since all trust documents do not contain the same powers, the trustee must pay special attention to the language in the trust to be certain of the trustee’s authority and options.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Supplemental Needs Trust. It is designed so that the family and friends of [name of beneficiary], the beneficiary of the trust, can make gifts to benefit [him/her] while preserving [his/her] eligibility to receive public benefits. The gifts made to the trust can take many forms: cash, bonds, shares of stock, real property, and even personal property. </w:t>
      </w:r>
      <w:r>
        <w:rPr>
          <w:rFonts w:ascii="Times New Roman" w:hAnsi="Times New Roman" w:eastAsia="Times New Roman" w:cs="Times New Roman"/>
          <w:b/>
          <w:sz w:val="24"/>
        </w:rPr>
        <w:t>Under no circumstances should any property or assets belonging to the beneficiary be transferred into the trust</w:t>
      </w:r>
      <w:r>
        <w:rPr>
          <w:rFonts w:ascii="Times New Roman" w:hAnsi="Times New Roman" w:eastAsia="Times New Roman" w:cs="Times New Roman"/>
          <w:b w:val="0"/>
          <w:sz w:val="24"/>
        </w:rPr>
        <w:t>. If the beneficiary’s assets are transferred to the trust, it could jeopardize the beneficiary’s eligibility for public benefits. The beneficiary has no right to demand or withdraw any assets or property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 is irrevocable.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is fixed and cannot be amended, except under very limited circumstances. Gifts made to the trust cannot be returned. Please contact me if you need to make any revisions to the trust.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 Tax Identification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order to report the trust’s income to the IRS for federal tax purposes, [you, as the trustee/the trustee], will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Tax Identification Number (TIN) from the IRS. The TIN will be used to identify the trust on tax returns and bank accounts. TINs are readily available online at the IRS website (www.irs.gov). Please contact my office you need assistance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ownership of one or more assets must be transferred to the trustee in order for the trust to be in effect. If the trust is never funded, it does not come into existence. The assets specified within the Trust Agreement as the trust’s initial funding need to be transferred to the trust. The recommended language for asset ownership 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trustee], Trustee of The [name of beneficiary] </w:t>
      </w:r>
    </w:p>
    <w:p>
      <w:pPr>
        <w:keepNext w:val="0"/>
        <w:spacing w:before="200" w:after="0" w:line="260" w:lineRule="exact"/>
        <w:ind w:left="720" w:right="0" w:firstLine="0"/>
        <w:jc w:val="both"/>
      </w:pPr>
      <w:r>
        <w:rPr>
          <w:rFonts w:ascii="Times New Roman" w:hAnsi="Times New Roman" w:eastAsia="Times New Roman" w:cs="Times New Roman"/>
          <w:b w:val="0"/>
          <w:sz w:val="24"/>
        </w:rPr>
        <w:t>Supplemental Needs Trust 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financial institution may require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slightly different name. Most variations on the above recommended language are acceptable so long as the asset title designates the name of the trustee, </w:t>
      </w:r>
      <w:r>
        <w:rPr>
          <w:rFonts w:ascii="Times New Roman" w:hAnsi="Times New Roman" w:eastAsia="Times New Roman" w:cs="Times New Roman"/>
          <w:b/>
          <w:sz w:val="24"/>
        </w:rPr>
        <w:t>as trustee</w:t>
      </w:r>
      <w:r>
        <w:rPr>
          <w:rFonts w:ascii="Times New Roman" w:hAnsi="Times New Roman" w:eastAsia="Times New Roman" w:cs="Times New Roman"/>
          <w:b w:val="0"/>
          <w:sz w:val="24"/>
        </w:rPr>
        <w:t>, and the name of the trust. Always use the trust’s TIN as the identification number for bank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Financial institutions may also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signed Trust Agreement.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copy of the Trust Agreement is rarely necessary. Ask which particular provisions of the Trust Agreement are required. Typically, the first page, executed signature pages, and pages containing the trustee powers are sufficient for the financial institution to ensure that the trust has been properly executed and the trustee has the necessary powers to engage in administration of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transfer real estate into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must be executed and recorded granting the property to the trust. After the deed has been recorded, contact the county appraisal district to ensure that future property taxes are assessed correctly.</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 Tax Return.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gift to the trust exceeds $[current gift tax exemption limit] in value, the donor should be advised to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tax return (IRS Form 709) by April 15 of the following year.</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Taxation of Trust Income.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is required to file IRS Form 1041 to report the income for any year in which the trust has taxable income. These forms are due on April 15 of the year following the taxable year. Although tax software is widely available for this purpose, we strongly recommend having these forms prepared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professional because of their complexity. If you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accountant, please let me know.</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from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types of distributions that can be made to the disabled beneficiary are limited by the terms of the trust. The purpose of the trust is to preserve [name of beneficiary]’s eligibility for public benefits. All distributions should be made with that goal in mind. Any distributions that would impair [name of beneficiary]’s eligibility to receive public benefits should be avoided. In general, distributions should not be made for basic support, such as housing, food, clothing, and medical treatment for which public or Medicaid funds are available. Some examples of permissible distributions include: automobile, computer equipment, subscriptions, travel, furniture, education (tuition, books, supplies), health insurance, life insurance, sports equipment, tickets to events. Cash or cash equivalents should not be distributed directly to the beneficiary. If you have any questions about permissible distributions,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 will terminate if any of the following events occur: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assets are fully depleted.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disabled beneficiary dies and the assets of the trust are distributed in accordance with Article [article number], Section [section number] of the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list of the trustee’s powers can be found in Article [article number], Section [section number], of the Trust Agreement. Please read them and make sure you understand them. I will be happy to answer any questions you may have about the trustee powers.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Keeping.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should keep trust property records separate from records pertaining to property that is not owned by the trust. Retain all records and account statements for trust property, either in hard or digital copy. These documents are vital for providing any necessary accountings of the trust property. If you need assistance in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to organize and maintain the trust records, please let me know.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feel free to contact me if you have questions regarding the administration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[attorney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