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Lift Notice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sz w:val="24"/>
        </w:rPr>
        <w:t>PRIVILEGED AND CONFIDENTIAL</w:t>
      </w:r>
    </w:p>
    <w:p>
      <w:pPr>
        <w:keepNext w:val="0"/>
        <w:spacing w:before="200" w:after="0" w:line="260" w:lineRule="exact"/>
        <w:ind w:left="360" w:right="0" w:firstLine="0"/>
        <w:jc w:val="right"/>
      </w:pPr>
      <w:r>
        <w:rPr>
          <w:rFonts w:ascii="Times New Roman" w:hAnsi="Times New Roman" w:eastAsia="Times New Roman" w:cs="Times New Roman"/>
          <w:b/>
          <w:sz w:val="24"/>
        </w:rPr>
        <w:t>ATTORNEY-CLIENT COMMUNICATION</w:t>
      </w:r>
    </w:p>
    <w:p>
      <w:pPr>
        <w:keepNext w:val="0"/>
        <w:spacing w:before="200" w:after="0" w:line="260" w:lineRule="exact"/>
        <w:ind w:left="360" w:right="0" w:firstLine="0"/>
        <w:jc w:val="right"/>
      </w:pPr>
      <w:r>
        <w:rPr>
          <w:rFonts w:ascii="Times New Roman" w:hAnsi="Times New Roman" w:eastAsia="Times New Roman" w:cs="Times New Roman"/>
          <w:b/>
          <w:sz w:val="24"/>
        </w:rPr>
        <w:t>ATTORNEY WORK PRODUCT</w:t>
      </w:r>
    </w:p>
    <w:p>
      <w:pPr>
        <w:keepNext w:val="0"/>
        <w:spacing w:before="120" w:after="0" w:line="260" w:lineRule="exact"/>
        <w:ind w:left="360" w:right="0" w:firstLine="0"/>
        <w:jc w:val="left"/>
      </w:pPr>
      <w:r>
        <w:rPr>
          <w:rFonts w:ascii="Times New Roman" w:hAnsi="Times New Roman" w:eastAsia="Times New Roman" w:cs="Times New Roman"/>
          <w:b/>
          <w:sz w:val="24"/>
        </w:rPr>
        <w:t>MEMORANDUM</w:t>
      </w:r>
    </w:p>
    <w:p>
      <w:pPr>
        <w:keepNext w:val="0"/>
        <w:spacing w:before="200" w:after="0" w:line="260" w:lineRule="exact"/>
        <w:ind w:left="720" w:right="0" w:firstLine="0"/>
        <w:jc w:val="both"/>
      </w:pPr>
      <w:r>
        <w:rPr>
          <w:rFonts w:ascii="Times New Roman" w:hAnsi="Times New Roman" w:eastAsia="Times New Roman" w:cs="Times New Roman"/>
          <w:b w:val="0"/>
          <w:sz w:val="24"/>
        </w:rPr>
        <w:t>To: [management and employees to whom the litigation hold memorandum was sent]</w:t>
      </w:r>
    </w:p>
    <w:p>
      <w:pPr>
        <w:keepNext w:val="0"/>
        <w:spacing w:before="200" w:after="0" w:line="260" w:lineRule="exact"/>
        <w:ind w:left="720" w:right="0" w:firstLine="0"/>
        <w:jc w:val="both"/>
      </w:pPr>
      <w:r>
        <w:rPr>
          <w:rFonts w:ascii="Times New Roman" w:hAnsi="Times New Roman" w:eastAsia="Times New Roman" w:cs="Times New Roman"/>
          <w:b w:val="0"/>
          <w:sz w:val="24"/>
        </w:rPr>
        <w:t>From: [outside in-house 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Subject: Litigation Hold Lift Notice Regarding [insert brief description of dispute/case name of pending litigation/name of agency if pending audit or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[Company name] initiated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hold in connection with the [dispute/case/audit/ investigation] described above. You were informed of the litigation hold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Hold Notice[s], dated [date[s]]. The Litigation Hold Notice[s] directed you to preserve and refrain from altering or destroying certain documents and information relating to the [dispute/case/ audit/investigation] until you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written notice that the litigation hold was released.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Litigation Hold Lift Notice is intended to advise you that the litigation hold described above is now released, and you are no longer required to preserve documents and information subject to this particular litigation hold. You may resume the normal document and data retention, archiving and destruction procedures in effect for documents and information not targeted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hold. </w:t>
      </w:r>
    </w:p>
    <w:p>
      <w:pPr>
        <w:keepNext w:val="0"/>
        <w:spacing w:before="200" w:after="0" w:line="260" w:lineRule="exact"/>
        <w:ind w:left="720" w:right="0" w:firstLine="0"/>
        <w:jc w:val="both"/>
      </w:pPr>
      <w:r>
        <w:rPr>
          <w:rFonts w:ascii="Times New Roman" w:hAnsi="Times New Roman" w:eastAsia="Times New Roman" w:cs="Times New Roman"/>
          <w:b w:val="0"/>
          <w:sz w:val="24"/>
        </w:rPr>
        <w:t>It is important to understand the scope of this notice. This notice releases only the specific litigation hold described above. It does not lift any other litigation holds currently in effect concerning other disputes, even if those litigation holds require you to preserve some or all of the documents and information subject to the hold this notice releases. If you are presently subject to another active litigation hold, you must continue to comply with the instructions in the Litigation Hold Notice you received regarding that other litigation hold.</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any questions or concerns regarding this Litigation Hold Lift Notice, please do not hesitate to contact [outside or in-house counsel name] at [outside or in-house counsel email and phone number]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[Outside or in-house 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