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Loan-Level Representations</w:t>
      </w:r>
    </w:p>
    <w:p>
      <w:pPr/>
      <w:r>
        <w:rPr>
          <w:rFonts w:ascii="Times New Roman" w:hAnsi="Times New Roman" w:eastAsia="Times New Roman" w:cs="Times New Roman"/>
          <w:sz w:val="24"/>
        </w:rPr>
        <w:t>The Seller hereby represents and warrants to the Purchaser that, as to each Mortgage Loan, as of the related Closing Date or such other date specified herein:</w:t>
      </w:r>
    </w:p>
    <w:p>
      <w:pPr/>
      <w:r>
        <w:rPr>
          <w:rFonts w:ascii="Times New Roman" w:hAnsi="Times New Roman" w:eastAsia="Times New Roman" w:cs="Times New Roman"/>
          <w:sz w:val="24"/>
        </w:rPr>
        <w:t>Property Valuation</w:t>
      </w:r>
      <w:r>
        <w:rPr>
          <w:rFonts w:ascii="Times New Roman" w:hAnsi="Times New Roman" w:eastAsia="Times New Roman" w:cs="Times New Roman"/>
          <w:sz w:val="24"/>
        </w:rPr>
        <w:t>.</w:t>
      </w:r>
      <w:r>
        <w:rPr>
          <w:rFonts w:ascii="Times New Roman" w:hAnsi="Times New Roman" w:eastAsia="Times New Roman" w:cs="Times New Roman"/>
          <w:sz w:val="24"/>
        </w:rPr>
        <w:t xml:space="preserve"> Each Mortgage File contains a written appraisal prepared by an appraiser licensed or certified by the applicable governmental body in which the mortgaged property is located and in accordance with the requirements of Title XI of FIRREA. The appraisal was written, in form and substance, to (i) customary Fannie Mae or Freddie Mac standards for mortgage loans of the same type as such Mortgage Loans and (ii) USPAP standards, and satisfies applicable legal and regulatory requirements. The appraisal was made and signed prior to the final approval of the Mortgage Loan application. The person performing any property valuation (including an appraiser) received no benefit from, and such person's compensation or flow of business from the originator was not affected by, the approval or disapproval of the Mortgage Loan. The selection of the person performing the property valuation was made independently of the broker (where applicable) and the originator's loan sales and loan production personnel. The selection of the appraiser met the criteria of Fannie Mae and Freddie Mac for selecting an independent appraiser.</w:t>
      </w:r>
    </w:p>
    <w:p>
      <w:pPr/>
      <w:r>
        <w:rPr>
          <w:rFonts w:ascii="Times New Roman" w:hAnsi="Times New Roman" w:eastAsia="Times New Roman" w:cs="Times New Roman"/>
          <w:sz w:val="24"/>
        </w:rPr>
        <w:t>Income/Employment/Assets</w:t>
      </w:r>
      <w:r>
        <w:rPr>
          <w:rFonts w:ascii="Times New Roman" w:hAnsi="Times New Roman" w:eastAsia="Times New Roman" w:cs="Times New Roman"/>
          <w:sz w:val="24"/>
        </w:rPr>
        <w:t>.</w:t>
      </w:r>
      <w:r>
        <w:rPr>
          <w:rFonts w:ascii="Times New Roman" w:hAnsi="Times New Roman" w:eastAsia="Times New Roman" w:cs="Times New Roman"/>
          <w:sz w:val="24"/>
        </w:rPr>
        <w:t xml:space="preserve"> With respect to each Mortgage Loan the originator verified the borrower's income, employment, and assets in accordance with its written Underwriting Guidelines and employed procedures designed to authenticate the documentation supporting such income, employment, and assets. Such verification includes the transcripts received from the Internal Revenue Service pursuant to a filing of IRS Form 4506-T. With respect to each Mortgage Loan, in order to test the reasonableness of the income, the originator used (i) transcripts received from the IRS pursuant to a filing of IRS Form 4506-T (to the extent specified in the Mortgage Loan Schedule) or (ii) public and/or commercially available information acceptable to the Purchaser.</w:t>
      </w:r>
    </w:p>
    <w:p>
      <w:pPr/>
      <w:r>
        <w:rPr>
          <w:rFonts w:ascii="Times New Roman" w:hAnsi="Times New Roman" w:eastAsia="Times New Roman" w:cs="Times New Roman"/>
          <w:sz w:val="24"/>
        </w:rPr>
        <w:t>Occupancy</w:t>
      </w:r>
      <w:r>
        <w:rPr>
          <w:rFonts w:ascii="Times New Roman" w:hAnsi="Times New Roman" w:eastAsia="Times New Roman" w:cs="Times New Roman"/>
          <w:sz w:val="24"/>
        </w:rPr>
        <w:t>.</w:t>
      </w:r>
      <w:r>
        <w:rPr>
          <w:rFonts w:ascii="Times New Roman" w:hAnsi="Times New Roman" w:eastAsia="Times New Roman" w:cs="Times New Roman"/>
          <w:sz w:val="24"/>
        </w:rPr>
        <w:t xml:space="preserve"> The originator has given due consideration to factors, including but not limited to, other real estate owned by the borrower, commuting distance to work, appraiser comments and notes, the location of the property and any difference between the mailing address active in the servicing system and the subject property address to evaluate whether the occupancy status of the property as represented by the borrower is reasonable.</w:t>
      </w:r>
    </w:p>
    <w:p>
      <w:pPr/>
      <w:r>
        <w:rPr>
          <w:rFonts w:ascii="Times New Roman" w:hAnsi="Times New Roman" w:eastAsia="Times New Roman" w:cs="Times New Roman"/>
          <w:sz w:val="24"/>
        </w:rPr>
        <w:t>Data</w:t>
      </w:r>
      <w:r>
        <w:rPr>
          <w:rFonts w:ascii="Times New Roman" w:hAnsi="Times New Roman" w:eastAsia="Times New Roman" w:cs="Times New Roman"/>
          <w:sz w:val="24"/>
        </w:rPr>
        <w:t>.</w:t>
      </w:r>
      <w:r>
        <w:rPr>
          <w:rFonts w:ascii="Times New Roman" w:hAnsi="Times New Roman" w:eastAsia="Times New Roman" w:cs="Times New Roman"/>
          <w:sz w:val="24"/>
        </w:rPr>
        <w:t xml:space="preserve"> The information set forth in the related Mortgage Loan Schedule, including any diskette or other related data tapes sent to the Purchaser, is complete, true and correct in all material respects. The information on the Mortgage Loan Schedule and the information provided are consistent with the contents of the originator's records and the Mortgage File. The Mortgage Loan Schedule contains all of the required fields. Any seller or builder concession has been subtracted from the Appraised Value of the Mortgaged Property for purposes of determining the LTV and CLTV. Except for information specified to be as of the origination date of the Mortgage Loan, the Mortgage Loan Schedule contains the most current information possessed by the originator. No appraisal or other property valuation </w:t>
      </w:r>
      <w:r>
        <w:rPr>
          <w:rFonts w:ascii="Times New Roman" w:hAnsi="Times New Roman" w:eastAsia="Times New Roman" w:cs="Times New Roman"/>
          <w:sz w:val="24"/>
        </w:rPr>
        <w:t>referred to or used to determine any data listed on the Mortgage Loan Schedule was more than 3 months old at the time of the Mortgage Loan closing.</w:t>
      </w:r>
    </w:p>
    <w:p>
      <w:pPr/>
      <w:r>
        <w:rPr>
          <w:rFonts w:ascii="Times New Roman" w:hAnsi="Times New Roman" w:eastAsia="Times New Roman" w:cs="Times New Roman"/>
          <w:sz w:val="24"/>
        </w:rPr>
        <w:t>Fraud</w:t>
      </w:r>
      <w:r>
        <w:rPr>
          <w:rFonts w:ascii="Times New Roman" w:hAnsi="Times New Roman" w:eastAsia="Times New Roman" w:cs="Times New Roman"/>
          <w:sz w:val="24"/>
        </w:rPr>
        <w:t>.</w:t>
      </w:r>
      <w:r>
        <w:rPr>
          <w:rFonts w:ascii="Times New Roman" w:hAnsi="Times New Roman" w:eastAsia="Times New Roman" w:cs="Times New Roman"/>
          <w:sz w:val="24"/>
        </w:rPr>
        <w:t xml:space="preserve"> No fraud, error, omission, misrepresentation, negligence or similar occurrence with respect to the Mortgage Loan has taken place on the part of the Mortgagor, the Seller or any other Person, including, without limitation, any appraiser, title company, closing or settlement agent, realtor, builder or developer or any other party involved in the origination or sale of the Mortgage Loan or the sale of the Mortgaged Property, that would impair in any way the rights of the Purchaser in the Mortgage Loan or Mortgaged Property or that violated applicable law.</w:t>
      </w:r>
    </w:p>
    <w:p>
      <w:pPr/>
      <w:r>
        <w:rPr>
          <w:rFonts w:ascii="Times New Roman" w:hAnsi="Times New Roman" w:eastAsia="Times New Roman" w:cs="Times New Roman"/>
          <w:sz w:val="24"/>
        </w:rPr>
        <w:t>Underwriting; Collection Practices; Escrow Payments</w:t>
      </w:r>
      <w:r>
        <w:rPr>
          <w:rFonts w:ascii="Times New Roman" w:hAnsi="Times New Roman" w:eastAsia="Times New Roman" w:cs="Times New Roman"/>
          <w:sz w:val="24"/>
        </w:rPr>
        <w:t>.</w:t>
      </w:r>
      <w:r>
        <w:rPr>
          <w:rFonts w:ascii="Times New Roman" w:hAnsi="Times New Roman" w:eastAsia="Times New Roman" w:cs="Times New Roman"/>
          <w:sz w:val="24"/>
        </w:rPr>
        <w:t xml:space="preserve"> Each Mortgage Loan either (i) was underwritten in conformance with the originator's Underwriting Guidelines in effect at the time of origination without regard to any underwriter discretion or (ii) if not underwritten in conformance with the originator's Underwriting Guidelines, has reasonable and documented compensating factors. The methodology used in underwriting the extension of credit for the Mortgage Loan includes objective mathematical principles that relate to the relationship between the borrower's income, assets and liabilities and the proposed payment. With respect to escrow deposits and mortgage escrow accounts, all such payments are in the possession of Seller and there exist no deficiencies in connection therewith for which customary arrangements for repayment thereof have not been made. All escrow payments have been collected in full compliance with state and federal law. An escrow of funds is not prohibited by applicable law and has been established in an amount sufficient to pay for every item subject to an escrow requirement which remains unpaid and which has been assessed but is not yet due and payable. Except in connection with a modification disclosed on the Mortgage Loan Schedule and contained in the Servicing File, no escrow deposits or escrow payments or other charges or payments due the Seller have been capitalized under the Mortgage or the Mortgage Note. With respect to each Adjustable Rate Mortgage Loan, all mortgage interest rate adjustments and monthly payment adjustments have been made in strict compliance with Customary Servicing Procedures, and, as of the applicable Transfer Date, Seller's servicing system has been updated to reflect any such adjustments. The Seller executed and delivered any and all notices required under applicable law and the terms of the related Mortgage Note and Mortgage regarding the Mortgage Interest Rate and the monthly payment adjustments. Any interest required to be paid to the Mortgagor pursuant to state, federal and local law has been properly paid and credited.</w:t>
      </w:r>
    </w:p>
    <w:p>
      <w:pPr/>
      <w:r>
        <w:rPr>
          <w:rFonts w:ascii="Times New Roman" w:hAnsi="Times New Roman" w:eastAsia="Times New Roman" w:cs="Times New Roman"/>
          <w:sz w:val="24"/>
        </w:rPr>
        <w:t>Mortgage Insurance</w:t>
      </w:r>
      <w:r>
        <w:rPr>
          <w:rFonts w:ascii="Times New Roman" w:hAnsi="Times New Roman" w:eastAsia="Times New Roman" w:cs="Times New Roman"/>
          <w:sz w:val="24"/>
        </w:rPr>
        <w:t>.</w:t>
      </w:r>
      <w:r>
        <w:rPr>
          <w:rFonts w:ascii="Times New Roman" w:hAnsi="Times New Roman" w:eastAsia="Times New Roman" w:cs="Times New Roman"/>
          <w:sz w:val="24"/>
        </w:rPr>
        <w:t xml:space="preserve"> No Mortgage Loan has mortgage insurance.</w:t>
      </w:r>
    </w:p>
    <w:p>
      <w:pPr/>
      <w:r>
        <w:rPr>
          <w:rFonts w:ascii="Times New Roman" w:hAnsi="Times New Roman" w:eastAsia="Times New Roman" w:cs="Times New Roman"/>
          <w:sz w:val="24"/>
        </w:rPr>
        <w:t>Regulatory Compliance</w:t>
      </w:r>
      <w:r>
        <w:rPr>
          <w:rFonts w:ascii="Times New Roman" w:hAnsi="Times New Roman" w:eastAsia="Times New Roman" w:cs="Times New Roman"/>
          <w:sz w:val="24"/>
        </w:rPr>
        <w:t>.</w:t>
      </w:r>
      <w:r>
        <w:rPr>
          <w:rFonts w:ascii="Times New Roman" w:hAnsi="Times New Roman" w:eastAsia="Times New Roman" w:cs="Times New Roman"/>
          <w:sz w:val="24"/>
        </w:rPr>
        <w:t xml:space="preserve"> Any and all requirements of any federal, state or local law including, without limitation, usury, truth-in-lending, real estate settlement procedures, consumer credit protection, equal credit opportunity, fair housing, or disclosure laws applicable to the Mortgage Loan have been complied with in all material respects. No Mortgage Loan is a "high cost" or "covered" loan, as defined by any applicable federal, state or local predatory or abusive lending law, and no Mortgage Loan has a percentage listed under the Indicative Loss Severity Column (the column that appears in the Standard &amp; Poor's </w:t>
      </w:r>
      <w:r>
        <w:rPr>
          <w:rFonts w:ascii="Times New Roman" w:hAnsi="Times New Roman" w:eastAsia="Times New Roman" w:cs="Times New Roman"/>
          <w:sz w:val="24"/>
        </w:rPr>
        <w:t>Anti-Predatory Lending Law Update Table, included in the then-current Standard &amp; Poor's LEVELS® Glossary of Terms on Appendix E). No Mortgage Loan secured by property located in the State of Georgia was originated on or after October 1, 2002 and prior to March 7, 2003. No Mortgage Loan originated on or after March 7, 2003 is a "high cost home loan" as defined under the Georgia Fair Lending Act. No borrower was encouraged or required to select a loan product offered by an originator that was a higher cost product designed for less-creditworthy borrowers, unless at the time of the Mortgage Loan's origination, such borrower did not qualify, taking into account credit history and debt-to-income ratios, for a lower cost credit product then offered by such originator or any affiliate of such originator. To the Seller's knowledge, there does not exist on the related Mortgaged Property any hazardous substances, hazardous wastes or solid wastes, as such terms are defined in the Comprehensive Environmental Response Compensation and Liability Act, the Resource Conservation and Recovery Act of 1976, or other federal, state or local environmental legislation including, without limitation, asbestos. To the Seller's knowledge, there is no pending action or proceeding directly involving the Mortgaged Property in which compliance with any environmental law, rule or regulation is an issue; there is no violation of any environmental law, rule or regulation with respect to the Mortgaged Property; and nothing further remains to be done to satisfy in full all requirements of each such law, rule or regulation constituting a prerequisite to use and enjoyment of such Mortgaged Property. The Seller has complied with all applicable anti-money laundering laws and regulations, including without limitation the USA Patriot Act of 2001 (collectively, the "Anti-Money Laundering Laws"); the Seller has established an anti-money laundering compliance program as required by the Anti-Money Laundering Laws, has conducted the requisite due diligence in connection with the origination of each Mortgage Loan for purposes of the Anti-Money Laundering Laws, including with respect to the legitimacy of the applicable Mortgagor and the origin of the assets used by said Mortgagor to purchase the property in question, and maintains, and will maintain, sufficient information to identify the applicable Mortgagor for purposes of the Anti-Money Laundering Laws. The servicing of each Mortgage Loan prior to the related Closing Date complied in all material respects with the Customary Servicing Procedures and all then-applicable federal, state and local laws. Any breach of any representations made in this clause (</w:t>
      </w:r>
      <w:r>
        <w:rPr>
          <w:rFonts w:ascii="Times New Roman" w:hAnsi="Times New Roman" w:eastAsia="Times New Roman" w:cs="Times New Roman"/>
          <w:sz w:val="24"/>
        </w:rPr>
        <w:t>8</w:t>
      </w:r>
      <w:r>
        <w:rPr>
          <w:rFonts w:ascii="Times New Roman" w:hAnsi="Times New Roman" w:eastAsia="Times New Roman" w:cs="Times New Roman"/>
          <w:sz w:val="24"/>
        </w:rPr>
        <w:t>) shall be deemed to materially and adversely affect the value of the Mortgage Loan and shall require a repurchase of the affected Mortgage Loan.</w:t>
      </w:r>
    </w:p>
    <w:p>
      <w:pPr/>
      <w:r>
        <w:rPr>
          <w:rFonts w:ascii="Times New Roman" w:hAnsi="Times New Roman" w:eastAsia="Times New Roman" w:cs="Times New Roman"/>
          <w:sz w:val="24"/>
        </w:rPr>
        <w:t>Borrower</w:t>
      </w:r>
      <w:r>
        <w:rPr>
          <w:rFonts w:ascii="Times New Roman" w:hAnsi="Times New Roman" w:eastAsia="Times New Roman" w:cs="Times New Roman"/>
          <w:sz w:val="24"/>
        </w:rPr>
        <w:t>.</w:t>
      </w:r>
      <w:r>
        <w:rPr>
          <w:rFonts w:ascii="Times New Roman" w:hAnsi="Times New Roman" w:eastAsia="Times New Roman" w:cs="Times New Roman"/>
          <w:sz w:val="24"/>
        </w:rPr>
        <w:t xml:space="preserve"> As of the related Closing Date, the Mortgagor is not a debtor in any state or federal bankruptcy proceeding and is not insolvent and to the Seller's knowledge there are no circumstances or conditions with respect to the Mortgage, the Mortgaged Property, the Mortgagor or the Mortgagor's credit standing that could reasonably be expected to cause investors to regard the Mortgage Loan as an unacceptable investment, cause the Mortgage Loan to become delinquent or materially adversely affect the value or marketability of the Mortgage Loan. Either the Mortgagor is a natural person who is legally permitted to reside in the United States or the Mortgagor is an inter-vivos trust acceptable to Fannie Mae. No borrower had a prior bankruptcy in the last seven years. No borrower previously owned a property in the last seven years that was the subject of a foreclosure during the time the borrower was the owner of record.</w:t>
      </w:r>
    </w:p>
    <w:p>
      <w:pPr/>
      <w:r>
        <w:rPr>
          <w:rFonts w:ascii="Times New Roman" w:hAnsi="Times New Roman" w:eastAsia="Times New Roman" w:cs="Times New Roman"/>
          <w:sz w:val="24"/>
        </w:rPr>
        <w:t>Source of Loan Payments</w:t>
      </w:r>
      <w:r>
        <w:rPr>
          <w:rFonts w:ascii="Times New Roman" w:hAnsi="Times New Roman" w:eastAsia="Times New Roman" w:cs="Times New Roman"/>
          <w:sz w:val="24"/>
        </w:rPr>
        <w:t>.</w:t>
      </w:r>
      <w:r>
        <w:rPr>
          <w:rFonts w:ascii="Times New Roman" w:hAnsi="Times New Roman" w:eastAsia="Times New Roman" w:cs="Times New Roman"/>
          <w:sz w:val="24"/>
        </w:rPr>
        <w:t xml:space="preserve"> No loan payment has been escrowed as part of the loan proceeds on behalf of the borrower. No payments due and payable under the terms of the Mortgage Note and Mortgage or deed of trust, except for seller or builder concessions, have been paid by any person who was involved in, or benefited from, the sale or purchase of the Mortgaged Property or the origination, refinancing, sale, purchase or servicing of the Mortgage Loan other than the borrower.</w:t>
      </w:r>
    </w:p>
    <w:p>
      <w:pPr/>
      <w:r>
        <w:rPr>
          <w:rFonts w:ascii="Times New Roman" w:hAnsi="Times New Roman" w:eastAsia="Times New Roman" w:cs="Times New Roman"/>
          <w:sz w:val="24"/>
        </w:rPr>
        <w:t>Down Payment</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Mortgagor has contributed at least 5% of the purchase price for the Mortgaged Property with his/her own funds.</w:t>
      </w:r>
    </w:p>
    <w:p>
      <w:pPr/>
      <w:r>
        <w:rPr>
          <w:rFonts w:ascii="Times New Roman" w:hAnsi="Times New Roman" w:eastAsia="Times New Roman" w:cs="Times New Roman"/>
          <w:sz w:val="24"/>
        </w:rPr>
        <w:t>No Prior Liens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Seller is the sole owner and holder of the Mortgage Loan and the indebtedness evidenced by the Mortgage Note, and upon recordation the Purchaser or its designee will be the owner of record of the Mortgage and the indebtedness evidenced by the Mortgage Note, and upon the sale of the Mortgage Loan to the Purchaser, the Seller will retain any Mortgage File documents during the Interim Servicing Period in its possession in trust for the Purchaser. Each sale of the Mortgage Loan from any prior owner or the Seller was in exchange for fair equivalent value, and the prior owner or the Seller, as applicable, was solvent both prior to and after the transfer and had sufficient capital to pay and was able to pay its debts as they would generally mature. Immediately prior to the transfer and assignment to the Purchaser on the related Closing Date, the Mortgage Loan, including the Mortgage Note and the Mortgage, was not subject to an assignment or pledge, and the Seller had good and marketable title to and was the sole owner thereof and had full right to transfer and sell the Mortgage Loan to the Purchaser free and clear of any encumbrance, equity, lien, pledge, charge, claim or security interest. The Seller has the full right and authority subject to no interest or participation of, or agreement with, any other party, to sell and assign the Mortgage Loan pursuant to this Agreement and following the sale of the Mortgage Loan, the Purchaser will own such Mortgage Loan free and clear of any encumbrance, equity, participation interest, lien, pledge, charge, claim or security interest. The Seller intends to relinquish all rights to possess, control and monitor the Mortgage Loan.</w:t>
      </w:r>
    </w:p>
    <w:p>
      <w:pPr/>
      <w:r>
        <w:rPr>
          <w:rFonts w:ascii="Times New Roman" w:hAnsi="Times New Roman" w:eastAsia="Times New Roman" w:cs="Times New Roman"/>
          <w:sz w:val="24"/>
        </w:rPr>
        <w:t>Enforceability and Priority of Lien</w:t>
      </w:r>
      <w:r>
        <w:rPr>
          <w:rFonts w:ascii="Times New Roman" w:hAnsi="Times New Roman" w:eastAsia="Times New Roman" w:cs="Times New Roman"/>
          <w:sz w:val="24"/>
        </w:rPr>
        <w:t>.</w:t>
      </w:r>
      <w:r>
        <w:rPr>
          <w:rFonts w:ascii="Times New Roman" w:hAnsi="Times New Roman" w:eastAsia="Times New Roman" w:cs="Times New Roman"/>
          <w:sz w:val="24"/>
        </w:rPr>
        <w:t xml:space="preserve"> The related Mortgage is a valid, subsisting, enforceable and perfected first lien on the Mortgaged Property (subject, as to enforceability, to bankruptcy and other creditors rights laws), including all buildings on the Mortgaged Property, and all installations and mechanical, electrical, plumbing, heating and air conditioning systems affixed to such buildings, and all additions, alterations and replacements made at any time with respect to the foregoing securing the Mortgage Note's original principal balance. The Mortgage and the Mortgage Note do not contain any evidence of any security interest or other interest or right thereto. Such lien is free and clear of all adverse claims, liens and encumbrances having priority over the first lien of the Mortgage subject only to (1) the lien of non-delinquent current real property taxes and assessments not yet due and payable, (2) covenants, conditions and restrictions, rights of way, easements and other matters of the public record as of the date of recording which are acceptable to mortgage lending institutions generally and either (A) which are referred to or otherwise considered in the appraisal made for the originator of the Mortgage Loan, or (B) which do not adversely affect the Appraised Value of the Mortgaged Property as set forth in such appraisal and (3) other matters to which like properties are commonly subject which do not </w:t>
      </w:r>
      <w:r>
        <w:rPr>
          <w:rFonts w:ascii="Times New Roman" w:hAnsi="Times New Roman" w:eastAsia="Times New Roman" w:cs="Times New Roman"/>
          <w:sz w:val="24"/>
        </w:rPr>
        <w:t>materially interfere with the benefits of the security intended to be provided by the Mortgage or the use, enjoyment, value or marketability of the related Mortgaged Property. Any security agreement, chattel mortgage or equivalent document related to and delivered in connection with the Mortgage Loan establishes and creates a valid, subsisting, enforceable and perfected first lien and first priority security interest on the property described therein (subject, as to enforceability, to bankruptcy and other creditors rights laws), and the Seller has the full right to sell and assign the same to the Purchaser; There are no mechanics' or similar liens or claims which have been filed for work, labor or material (and no rights are outstanding that under law could give rise to such liens) affecting the related Mortgaged Property which are or may be liens prior to or equal to the lien of the related Mortgage. The related original Mortgage has been recorded or is in the process of being recorded.</w:t>
      </w:r>
    </w:p>
    <w:p>
      <w:pPr/>
      <w:r>
        <w:rPr>
          <w:rFonts w:ascii="Times New Roman" w:hAnsi="Times New Roman" w:eastAsia="Times New Roman" w:cs="Times New Roman"/>
          <w:sz w:val="24"/>
        </w:rPr>
        <w:t>Complete Mortgage Files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Note, the Mortgage, the Assignment of Mortgage and the other Mortgage Loan Documents set forth in Exhibits 1 and 2 and required to be delivered on the related Closing Date have been delivered to the Purchaser or its designee in compliance with the specific requirements of this Agreement and the PPTL for the related Mortgage Loan Package. With respect to each Mortgage Loan, the Seller is in possession of a complete Mortgage File including all documents used in the qualification of the borrower except for such documents as have been delivered to the Purchaser or its designee. In the event the Mortgage is a deed of trust, a trustee, authorized and duly qualified under applicable law to serve as such, has been properly designated, is named in the Mortgage and currently so serves, and no fees or expenses are or will become payable by the Purchaser to the trustee under the deed of trust, except in connection with a trustee's sale after default by the borrower.</w:t>
      </w:r>
    </w:p>
    <w:p>
      <w:pPr/>
      <w:r>
        <w:rPr>
          <w:rFonts w:ascii="Times New Roman" w:hAnsi="Times New Roman" w:eastAsia="Times New Roman" w:cs="Times New Roman"/>
          <w:sz w:val="24"/>
        </w:rPr>
        <w:t>No Modifications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terms of the Mortgage Note and the Mortgage have not been impaired, waived, altered or modified in any material respect, except by a written instrument that, if required by applicable law, has been recorded or is in the process of being recorded. The substance of any such waiver, alteration or modification has been approved by the issuer of any related Primary Mortgage Insurance Policy and title insurance policy, to the extent required by such policies, the terms of such waiver, alteration or modification have been reflected in the Mortgage Loan Schedule and the written instrument reflecting such terms has been included in the Mortgage File. No Mortgagor has been released, in whole or in part, from the terms of the Mortgage Note and the Mortgage, except in connection with an assumption agreement which is part of the Mortgage File and the terms of which are reflected in the related Mortgage Loan Schedule. The Mortgage and Mortgage Note have not been satisfied, canceled or subordinated, in whole or in part, or rescinded, and the Mortgaged Property has not been released from the lien of the Mortgage, in whole or in part, nor has any instrument been executed that would effect any such release, cancellation, subordination or rescission. The Seller has not waived the performance by the Mortgagor of any action, if the Mortgagor's failure to perform such action would cause the Mortgage Loan to be in default, nor has the Seller waived any default resulting from any action or inaction by the Mortgagor.</w:t>
      </w:r>
    </w:p>
    <w:p>
      <w:pPr/>
      <w:r>
        <w:rPr>
          <w:rFonts w:ascii="Times New Roman" w:hAnsi="Times New Roman" w:eastAsia="Times New Roman" w:cs="Times New Roman"/>
          <w:sz w:val="24"/>
        </w:rPr>
        <w:t>Taxes Paid</w:t>
      </w:r>
      <w:r>
        <w:rPr>
          <w:rFonts w:ascii="Times New Roman" w:hAnsi="Times New Roman" w:eastAsia="Times New Roman" w:cs="Times New Roman"/>
          <w:sz w:val="24"/>
        </w:rPr>
        <w:t>.</w:t>
      </w:r>
      <w:r>
        <w:rPr>
          <w:rFonts w:ascii="Times New Roman" w:hAnsi="Times New Roman" w:eastAsia="Times New Roman" w:cs="Times New Roman"/>
          <w:sz w:val="24"/>
        </w:rPr>
        <w:t xml:space="preserve"> All taxes, governmental assessments, insurance premiums, water, sewer and municipal charges, leasehold payments or ground rents which previously became due and owing have been paid by the borrower, or escrow funds from the borrower have been </w:t>
      </w:r>
      <w:r>
        <w:rPr>
          <w:rFonts w:ascii="Times New Roman" w:hAnsi="Times New Roman" w:eastAsia="Times New Roman" w:cs="Times New Roman"/>
          <w:sz w:val="24"/>
        </w:rPr>
        <w:t>established in an amount sufficient to pay for every such escrowed item which remains unpaid and which has been assessed but is not yet due and payable.</w:t>
      </w:r>
    </w:p>
    <w:p>
      <w:pPr/>
      <w:r>
        <w:rPr>
          <w:rFonts w:ascii="Times New Roman" w:hAnsi="Times New Roman" w:eastAsia="Times New Roman" w:cs="Times New Roman"/>
          <w:sz w:val="24"/>
        </w:rPr>
        <w:t>No Damage/Condemnation</w:t>
      </w:r>
      <w:r>
        <w:rPr>
          <w:rFonts w:ascii="Times New Roman" w:hAnsi="Times New Roman" w:eastAsia="Times New Roman" w:cs="Times New Roman"/>
          <w:sz w:val="24"/>
        </w:rPr>
        <w:t>.</w:t>
      </w:r>
      <w:r>
        <w:rPr>
          <w:rFonts w:ascii="Times New Roman" w:hAnsi="Times New Roman" w:eastAsia="Times New Roman" w:cs="Times New Roman"/>
          <w:sz w:val="24"/>
        </w:rPr>
        <w:t xml:space="preserve"> Each Mortgaged Property is undamaged by waste, vandalism, fire, hurricane, earthquake or earth movement, windstorm, flood, tornado or other casualty adversely affecting the value of a Mortgaged Property or the use for which the premises were intended, and each Mortgaged Property is in substantially the same condition it was at the time the most recent Appraised Value was obtained. There is no proceeding pending or threatened for the total or partial condemnation of any Mortgaged Property.</w:t>
      </w:r>
    </w:p>
    <w:p>
      <w:pPr/>
      <w:r>
        <w:rPr>
          <w:rFonts w:ascii="Times New Roman" w:hAnsi="Times New Roman" w:eastAsia="Times New Roman" w:cs="Times New Roman"/>
          <w:sz w:val="24"/>
        </w:rPr>
        <w:t>No Encroachments / Compliance with Zoning</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Mortgaged Property consists of an estate in fee simple in real property securing the related Mortgage Note. All improvements subject to the Mortgage which were considered in determining the Appraised Value of the Mortgaged Property lie wholly within the boundaries and building restriction lines of the Mortgaged Property (and wholly within the project with respect to a condominium unit), no improvements on adjoining properties encroach upon the Mortgaged Property except those which are insured against by the title insurance policy referred to in clause (</w:t>
      </w:r>
      <w:r>
        <w:rPr>
          <w:rFonts w:ascii="Times New Roman" w:hAnsi="Times New Roman" w:eastAsia="Times New Roman" w:cs="Times New Roman"/>
          <w:sz w:val="24"/>
        </w:rPr>
        <w:t>22</w:t>
      </w:r>
      <w:r>
        <w:rPr>
          <w:rFonts w:ascii="Times New Roman" w:hAnsi="Times New Roman" w:eastAsia="Times New Roman" w:cs="Times New Roman"/>
          <w:sz w:val="24"/>
        </w:rPr>
        <w:t>) below and all improvements on the property comply with all applicable building, zoning and subdivision laws, regulations and ordinances.</w:t>
      </w:r>
    </w:p>
    <w:p>
      <w:pPr/>
      <w:r>
        <w:rPr>
          <w:rFonts w:ascii="Times New Roman" w:hAnsi="Times New Roman" w:eastAsia="Times New Roman" w:cs="Times New Roman"/>
          <w:sz w:val="24"/>
        </w:rPr>
        <w:t>Legally Occupied</w:t>
      </w:r>
      <w:r>
        <w:rPr>
          <w:rFonts w:ascii="Times New Roman" w:hAnsi="Times New Roman" w:eastAsia="Times New Roman" w:cs="Times New Roman"/>
          <w:sz w:val="24"/>
        </w:rPr>
        <w:t>.</w:t>
      </w:r>
      <w:r>
        <w:rPr>
          <w:rFonts w:ascii="Times New Roman" w:hAnsi="Times New Roman" w:eastAsia="Times New Roman" w:cs="Times New Roman"/>
          <w:sz w:val="24"/>
        </w:rPr>
        <w:t xml:space="preserve"> As of the related Closing Date, the Mortgaged Property is lawfully occupied under applicable law, and all inspections, licenses and certificates required to be made or issued with respect to all occupied portions of the Mortgaged Property and, with respect to the use and occupancy of the same, including but not limited to certificates of occupancy and fire underwriting certificates, have been made or obtained from the appropriate authorities.</w:t>
      </w:r>
    </w:p>
    <w:p>
      <w:pPr/>
      <w:r>
        <w:rPr>
          <w:rFonts w:ascii="Times New Roman" w:hAnsi="Times New Roman" w:eastAsia="Times New Roman" w:cs="Times New Roman"/>
          <w:sz w:val="24"/>
        </w:rPr>
        <w:t>Mortgage Loan Legal and Binding</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Note, the Mortgage and other agreements executed in connection therewith are original and genuine and each is the legal, valid and binding obligation of the maker thereof, enforceable in all respects in accordance with its terms subject to bankruptcy, insolvency, moratorium, reorganization and other laws of general application affecting the rights of creditors and by general equitable principles. The Seller has taken all action necessary to transfer such rights of enforceability to the Purchaser. All parties to the Mortgage Note, the Mortgage and other agreements executed in connection therewith, had the legal capacity to enter into the Mortgage Loan and to execute and deliver the Mortgage Note and the Mortgage. The Mortgage Note and the Mortgage have been duly and properly executed by such parties.</w:t>
      </w:r>
    </w:p>
    <w:p>
      <w:pPr/>
      <w:r>
        <w:rPr>
          <w:rFonts w:ascii="Times New Roman" w:hAnsi="Times New Roman" w:eastAsia="Times New Roman" w:cs="Times New Roman"/>
          <w:sz w:val="24"/>
        </w:rPr>
        <w:t>Proceeds Fully Disbursed / Recording Fees Paid</w:t>
      </w:r>
      <w:r>
        <w:rPr>
          <w:rFonts w:ascii="Times New Roman" w:hAnsi="Times New Roman" w:eastAsia="Times New Roman" w:cs="Times New Roman"/>
          <w:sz w:val="24"/>
        </w:rPr>
        <w:t>.</w:t>
      </w:r>
      <w:r>
        <w:rPr>
          <w:rFonts w:ascii="Times New Roman" w:hAnsi="Times New Roman" w:eastAsia="Times New Roman" w:cs="Times New Roman"/>
          <w:sz w:val="24"/>
        </w:rPr>
        <w:t xml:space="preserve"> The proceeds of the Mortgage Loan have been fully disbursed and there is no requirement for future advances thereunder, and any and all requirements as to completion of any on-site or off-site improvements and as to disbursements of any escrow funds therefor have been complied with. All costs, fees and expenses incurred in making or closing the Mortgage Loan and the recording of the Mortgage were paid or are in the process of being paid, and the Mortgagor is not entitled to any refund of any amounts paid or due under the Mortgage Note or Mortgage.</w:t>
      </w:r>
    </w:p>
    <w:p>
      <w:pPr/>
      <w:r>
        <w:rPr>
          <w:rFonts w:ascii="Times New Roman" w:hAnsi="Times New Roman" w:eastAsia="Times New Roman" w:cs="Times New Roman"/>
          <w:sz w:val="24"/>
        </w:rPr>
        <w:t>Existence of Title Insurance</w:t>
      </w:r>
      <w:r>
        <w:rPr>
          <w:rFonts w:ascii="Times New Roman" w:hAnsi="Times New Roman" w:eastAsia="Times New Roman" w:cs="Times New Roman"/>
          <w:sz w:val="24"/>
        </w:rPr>
        <w:t>.</w:t>
      </w:r>
      <w:r>
        <w:rPr>
          <w:rFonts w:ascii="Times New Roman" w:hAnsi="Times New Roman" w:eastAsia="Times New Roman" w:cs="Times New Roman"/>
          <w:sz w:val="24"/>
        </w:rPr>
        <w:t xml:space="preserve"> Each Mortgage Loan (except (1) any Mortgage Loan secured by a Mortgaged Property located in any jurisdiction as to which an opinion of counsel of the type customarily rendered in such jurisdiction in lieu of title insurance is instead received and (2) any Mortgage Loan secured by Cooperative Shares) is covered by an ALTA lender's title insurance policy or other form of policy or insurance generally acceptable to Fannie Mae or Freddie Mac, issued by a title insurer acceptable to Fannie Mae or Freddie Mac and qualified to do business in the jurisdiction where the Mortgaged Property is located, insuring (subject to the exceptions contained in (m)(1), (2) and (3) above) the Seller, its successors and assigns, as to the first priority lien of the Mortgage in the original principal amount of the Mortgage Loan. Additionally, such policy affirmatively insures ingress and egress to and from the Mortgaged Property. Where required by applicable state law or regulation, the Mortgagor has been given the opportunity to choose the carrier of the required mortgage title insurance. The Seller, its successors and assigns, are the sole insureds of such lender's title insurance policy; such title insurance policy has been duly and validly endorsed to the Purchaser or the assignment to the Purchaser of the Seller's interest therein does not require the consent of or notification to the insurer; and such lender's title insurance policy is in full force and effect and will be in full force and effect upon the consummation of the transactions contemplated by this Agreement and the related PPTL. No claims have been made under such lender's title insurance policy, and no prior holder of the related Mortgage, including the Seller, has done, by act or omission, anything which would impair the coverage of such lender's title insurance policy. No originator, seller, prior owner of the Mortgage Loan or other Person has provided or received any unlawful fee, commission, kickback, or other compensation or value of any kind in connection with the title insurance policy.</w:t>
      </w:r>
    </w:p>
    <w:p>
      <w:pPr/>
      <w:r>
        <w:rPr>
          <w:rFonts w:ascii="Times New Roman" w:hAnsi="Times New Roman" w:eastAsia="Times New Roman" w:cs="Times New Roman"/>
          <w:sz w:val="24"/>
        </w:rPr>
        <w:t>Hazard Insurance</w:t>
      </w:r>
      <w:r>
        <w:rPr>
          <w:rFonts w:ascii="Times New Roman" w:hAnsi="Times New Roman" w:eastAsia="Times New Roman" w:cs="Times New Roman"/>
          <w:sz w:val="24"/>
        </w:rPr>
        <w:t>.</w:t>
      </w:r>
      <w:r>
        <w:rPr>
          <w:rFonts w:ascii="Times New Roman" w:hAnsi="Times New Roman" w:eastAsia="Times New Roman" w:cs="Times New Roman"/>
          <w:sz w:val="24"/>
        </w:rPr>
        <w:t xml:space="preserve"> All buildings or other customarily insured improvements upon the Mortgaged Property are insured by an insurer acceptable under the Fannie Mae Guides, against loss by fire, hazards of extended coverage and such other hazards as are provided for in the Fannie Mae Guides or by the Freddie Mac Guides, in an amount representing coverage not less than the lesser of (i) the maximum insurable value of the improvements securing such Mortgage Loans and (ii) the greater of (a) the outstanding principal balance of the Mortgage Loan and (b) an amount such that the proceeds thereof shall be sufficient to prevent the Mortgagor and/or the Mortgagee from becoming a co-insurer. If the Mortgaged Property is a condominium unit, it is included under the coverage afforded by a blanket policy for the project. If required by the FDPA, the Mortgage Loan is covered by a flood insurance policy meeting the requirements of the current guidelines of the Federal Insurance Administration and conforming to Fannie Mae and Freddie Mac requirements, in an amount not less than the amount required by the FDPA. Such policy was issued by an insurer acceptable under the Fannie Mae Guides or the Freddie Mac Guides. The Mortgage obligates the Mortgagor thereunder to maintain all such insurance at the Mortgagor's cost and expense, and upon the Mortgagor's failure to do so, authorizes the holder of the Mortgage to maintain such insurance at the Mortgagor's cost and expense and to seek reimbursement therefor from the Mortgagor. All such standard hazard and flood policies are in full force and effect and on the date of origination contained a standard mortgagee clause naming the Seller and its successors in interest and assigns as loss payee; such clause is still in effect and all premiums due on any such policies have been paid in full. No originator, seller, prior owner of the Mortgage Loan, borrower or any other Person, has engaged in any act or omission that would </w:t>
      </w:r>
      <w:r>
        <w:rPr>
          <w:rFonts w:ascii="Times New Roman" w:hAnsi="Times New Roman" w:eastAsia="Times New Roman" w:cs="Times New Roman"/>
          <w:sz w:val="24"/>
        </w:rPr>
        <w:t>impair the coverage of any such insurance policy, the benefits of the endorsement provided for therein, or the validity and binding effect of either, including, without limitation, the provision or receipt of any unlawful fee, commission, kickback, or other compensation or value of any kind. No action, inaction, or event has occurred and no state of facts exists or has existed that has resulted or will result in the exclusion from, denial of, or defense to coverage under any such insurance policies, regardless of the cause of such failure of coverage.</w:t>
      </w:r>
    </w:p>
    <w:p>
      <w:pPr/>
      <w:r>
        <w:rPr>
          <w:rFonts w:ascii="Times New Roman" w:hAnsi="Times New Roman" w:eastAsia="Times New Roman" w:cs="Times New Roman"/>
          <w:sz w:val="24"/>
        </w:rPr>
        <w:t>No Default</w:t>
      </w:r>
      <w:r>
        <w:rPr>
          <w:rFonts w:ascii="Times New Roman" w:hAnsi="Times New Roman" w:eastAsia="Times New Roman" w:cs="Times New Roman"/>
          <w:sz w:val="24"/>
        </w:rPr>
        <w:t>.</w:t>
      </w:r>
      <w:r>
        <w:rPr>
          <w:rFonts w:ascii="Times New Roman" w:hAnsi="Times New Roman" w:eastAsia="Times New Roman" w:cs="Times New Roman"/>
          <w:sz w:val="24"/>
        </w:rPr>
        <w:t xml:space="preserve"> There is no default, breach, violation or event of acceleration existing under the Mortgage or the related Mortgage Note and no event which, with the passage of time or with notice and the expiration of any grace or cure period, would constitute a default, breach, violation or event permitting acceleration; and neither the Seller nor any prior mortgagee has waived any default, breach, violation or event permitting acceleration. No foreclosure action is currently threatened or has been commenced with respect to any Mortgaged Property.</w:t>
      </w:r>
    </w:p>
    <w:p>
      <w:pPr/>
      <w:r>
        <w:rPr>
          <w:rFonts w:ascii="Times New Roman" w:hAnsi="Times New Roman" w:eastAsia="Times New Roman" w:cs="Times New Roman"/>
          <w:sz w:val="24"/>
        </w:rPr>
        <w:t>No Rescission</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Note and the Mortgage are not subject to any right of rescission, set-off, counterclaim or defense, including, without limitation, the defense of usury, nor will the operation of any of the terms of the Mortgage Note or the Mortgage, or the exercise of any right thereunder, render the Mortgage Note or Mortgage unenforceable, in whole or in part, or subject to any right of rescission, set-off, counterclaim or defense, including the defense of usury, and no such right of rescission, set-off, counterclaim or defense has been asserted with respect thereto. The Mortgagor was not a debtor at the time of origination of the Mortgage Loan and is not currently a debtor in any state or federal bankruptcy or insolvency proceeding.</w:t>
      </w:r>
    </w:p>
    <w:p>
      <w:pPr/>
      <w:r>
        <w:rPr>
          <w:rFonts w:ascii="Times New Roman" w:hAnsi="Times New Roman" w:eastAsia="Times New Roman" w:cs="Times New Roman"/>
          <w:sz w:val="24"/>
        </w:rPr>
        <w:t>Enforceable Right of Foreclosure</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relating to a Mortgaged Property contains customary and enforceable provisions such as to render the rights and remedies of the holder thereof adequate for the realization against such Mortgaged Property of the benefits of the security provided thereby. There is no homestead or other exemption (other than Servicemembers Civil Relief Act or similar state or local laws as identified on the Mortgage Loan Schedule) available to the Mortgagor which would interfere with the right to sell the Mortgaged Property at a trustee's sale or the right to foreclose on the Mortgage.</w:t>
      </w:r>
    </w:p>
    <w:p>
      <w:pPr/>
      <w:r>
        <w:rPr>
          <w:rFonts w:ascii="Times New Roman" w:hAnsi="Times New Roman" w:eastAsia="Times New Roman" w:cs="Times New Roman"/>
          <w:sz w:val="24"/>
        </w:rPr>
        <w:t>Mortgaged Property is 1-4 Family</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Mortgaged Property consists of a single parcel of real property with a detached single family residence erected thereon, or a townhouse, or a two-to four-family dwelling, or an individual condominium unit in a condominium project, or an individual unit in a planned unit development or a de minimis planned unit development, provided, however, that no residence or dwelling is a mobile home. As of the date of origination, no portion of the Mortgaged Property was used for commercial purposes, and since the date of origination no portion of the Mortgaged Property has been used for commercial purposes.</w:t>
      </w:r>
    </w:p>
    <w:p>
      <w:pPr/>
      <w:r>
        <w:rPr>
          <w:rFonts w:ascii="Times New Roman" w:hAnsi="Times New Roman" w:eastAsia="Times New Roman" w:cs="Times New Roman"/>
          <w:sz w:val="24"/>
        </w:rPr>
        <w:t>Mortgage Loan Qualifies for R</w:t>
      </w:r>
      <w:r>
        <w:rPr>
          <w:rFonts w:ascii="Times New Roman" w:hAnsi="Times New Roman" w:eastAsia="Times New Roman" w:cs="Times New Roman"/>
          <w:sz w:val="24"/>
        </w:rPr>
        <w:t>EMIC</w:t>
      </w:r>
      <w:r>
        <w:rPr>
          <w:rFonts w:ascii="Times New Roman" w:hAnsi="Times New Roman" w:eastAsia="Times New Roman" w:cs="Times New Roman"/>
          <w:sz w:val="24"/>
        </w:rPr>
        <w:t>.</w:t>
      </w:r>
      <w:r>
        <w:rPr>
          <w:rFonts w:ascii="Times New Roman" w:hAnsi="Times New Roman" w:eastAsia="Times New Roman" w:cs="Times New Roman"/>
          <w:sz w:val="24"/>
        </w:rPr>
        <w:t xml:space="preserve"> Each Mortgage Loan constitutes a qualified mortgage under Section 860G(a)(3)(A) of the Code and Treasury Regulations Section 1.860G-2(a)(l).</w:t>
      </w:r>
    </w:p>
    <w:p>
      <w:pPr/>
      <w:r>
        <w:rPr>
          <w:rFonts w:ascii="Times New Roman" w:hAnsi="Times New Roman" w:eastAsia="Times New Roman" w:cs="Times New Roman"/>
          <w:sz w:val="24"/>
        </w:rPr>
        <w:t>Original Mortgage Notes</w:t>
      </w:r>
      <w:r>
        <w:rPr>
          <w:rFonts w:ascii="Times New Roman" w:hAnsi="Times New Roman" w:eastAsia="Times New Roman" w:cs="Times New Roman"/>
          <w:sz w:val="24"/>
        </w:rPr>
        <w:t>.</w:t>
      </w:r>
      <w:r>
        <w:rPr>
          <w:rFonts w:ascii="Times New Roman" w:hAnsi="Times New Roman" w:eastAsia="Times New Roman" w:cs="Times New Roman"/>
          <w:sz w:val="24"/>
        </w:rPr>
        <w:t xml:space="preserve"> The Seller has delivered to the Purchaser the original Mortgage Note with respect to each Mortgage Loan.</w:t>
      </w:r>
    </w:p>
    <w:p>
      <w:pPr/>
      <w:r>
        <w:rPr>
          <w:rFonts w:ascii="Times New Roman" w:hAnsi="Times New Roman" w:eastAsia="Times New Roman" w:cs="Times New Roman"/>
          <w:sz w:val="24"/>
        </w:rPr>
        <w:t>Doing Business</w:t>
      </w:r>
      <w:r>
        <w:rPr>
          <w:rFonts w:ascii="Times New Roman" w:hAnsi="Times New Roman" w:eastAsia="Times New Roman" w:cs="Times New Roman"/>
          <w:sz w:val="24"/>
        </w:rPr>
        <w:t>.</w:t>
      </w:r>
      <w:r>
        <w:rPr>
          <w:rFonts w:ascii="Times New Roman" w:hAnsi="Times New Roman" w:eastAsia="Times New Roman" w:cs="Times New Roman"/>
          <w:sz w:val="24"/>
        </w:rPr>
        <w:t xml:space="preserve"> All parties which have had any interest in the Mortgage, whether as Mortgagee, assignee, pledgee or otherwise, are (or, during the period in which they held and disposed of such interest, were) (A) in compliance with any and all applicable licensing requirements of the laws of the state wherein the Mortgaged Property is located and (B) (1) organized under the laws of such state, (2) qualified to do business in such state, (3) a federal savings and loan association, a national bank, a Federal Home Loan Bank or a savings bank having principal offices in such state or (4) not doing business in such state.</w:t>
      </w:r>
    </w:p>
    <w:p>
      <w:pPr/>
      <w:r>
        <w:rPr>
          <w:rFonts w:ascii="Times New Roman" w:hAnsi="Times New Roman" w:eastAsia="Times New Roman" w:cs="Times New Roman"/>
          <w:sz w:val="24"/>
        </w:rPr>
        <w:t>Loans Current / Prior Delinquencies</w:t>
      </w:r>
      <w:r>
        <w:rPr>
          <w:rFonts w:ascii="Times New Roman" w:hAnsi="Times New Roman" w:eastAsia="Times New Roman" w:cs="Times New Roman"/>
          <w:sz w:val="24"/>
        </w:rPr>
        <w:t>.</w:t>
      </w:r>
      <w:r>
        <w:rPr>
          <w:rFonts w:ascii="Times New Roman" w:hAnsi="Times New Roman" w:eastAsia="Times New Roman" w:cs="Times New Roman"/>
          <w:sz w:val="24"/>
        </w:rPr>
        <w:t xml:space="preserve"> All payments due on a Mortgage Loan on or prior to the related Closing Date have been made as of the related Closing Date, no Mortgage Loan is Delinquent and no Mortgage Loan has been Delinquent during the preceding twelve-month period; no payment made on such Mortgage Loan has been dishonored; there are no material defaults under the terms of such Mortgage Loan; and neither the Seller nor any other party has advanced funds or induced, solicited or knowingly received any advance of funds from a party other than the owner of the Mortgaged Property subject to the Mortgage, directly or indirectly, for the payment of any amount required by the Mortgage Loan.</w:t>
      </w:r>
    </w:p>
    <w:p>
      <w:pPr/>
      <w:r>
        <w:rPr>
          <w:rFonts w:ascii="Times New Roman" w:hAnsi="Times New Roman" w:eastAsia="Times New Roman" w:cs="Times New Roman"/>
          <w:sz w:val="24"/>
        </w:rPr>
        <w:t>[Reserved</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Acceleration of Payments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contains the usual and enforceable provisions of the originator at the time of origination for the acceleration of the payment of the unpaid principal amount of the Mortgage Loan if the related Mortgaged Property is sold without the prior consent of the Mortgagee thereunder.</w:t>
      </w:r>
    </w:p>
    <w:p>
      <w:pPr/>
      <w:r>
        <w:rPr>
          <w:rFonts w:ascii="Times New Roman" w:hAnsi="Times New Roman" w:eastAsia="Times New Roman" w:cs="Times New Roman"/>
          <w:sz w:val="24"/>
        </w:rPr>
        <w:t>[Reserved]</w:t>
      </w:r>
      <w:r>
        <w:rPr>
          <w:rFonts w:ascii="Times New Roman" w:hAnsi="Times New Roman" w:eastAsia="Times New Roman" w:cs="Times New Roman"/>
          <w:sz w:val="24"/>
        </w:rPr>
        <w:t>.</w:t>
      </w:r>
    </w:p>
    <w:p>
      <w:pPr/>
      <w:r>
        <w:rPr>
          <w:rFonts w:ascii="Times New Roman" w:hAnsi="Times New Roman" w:eastAsia="Times New Roman" w:cs="Times New Roman"/>
          <w:sz w:val="24"/>
        </w:rPr>
        <w:t>Leasehold Interest Representation and Warranty</w:t>
      </w:r>
      <w:r>
        <w:rPr>
          <w:rFonts w:ascii="Times New Roman" w:hAnsi="Times New Roman" w:eastAsia="Times New Roman" w:cs="Times New Roman"/>
          <w:sz w:val="24"/>
        </w:rPr>
        <w:t>.</w:t>
      </w:r>
      <w:r>
        <w:rPr>
          <w:rFonts w:ascii="Times New Roman" w:hAnsi="Times New Roman" w:eastAsia="Times New Roman" w:cs="Times New Roman"/>
          <w:sz w:val="24"/>
        </w:rPr>
        <w:t xml:space="preserve"> To the extent the Mortgage Loan is secured by a leasehold interest: (1) the borrower is the owner of a valid and subsisting interest as tenant under the lease and is not in default thereunder, (2) the lease is in full force and effect, and is unmodified, (3) all rents and other charges have been paid when due, (4) the lessor under the lease is not in default, (5) the execution, delivery, and performance of the Mortgage do not require the consent (other than the consents that have been obtained and are in full force and effect) under, and will not violate or cause a default under, the terms of the lease, (6) the lease is assignable or transferable, (7) the term of such lease does not terminate earlier than five years after the maturity date of the Mortgage Note, (8) the lease does not provide for termination of the lease in the event of the borrower's default without written notice to the Mortgagee and a reasonable opportunity to cure the default, (9) the lease permits the mortgaging of the related Mortgaged Property and (10) the lease protects the Mortgagee's interests in the event of a property condemnation.</w:t>
      </w:r>
    </w:p>
    <w:p>
      <w:pPr/>
      <w:r>
        <w:rPr>
          <w:rFonts w:ascii="Times New Roman" w:hAnsi="Times New Roman" w:eastAsia="Times New Roman" w:cs="Times New Roman"/>
          <w:sz w:val="24"/>
        </w:rPr>
        <w:t>Sole Collateral</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As of the related Closing Date, the Mortgage Note is not and has not been secured by any collateral other than the lien of the corresponding Mortgage and the security interest of any applicable security agreement or chattel mortgage referred to in clause (</w:t>
      </w:r>
      <w:r>
        <w:rPr>
          <w:rFonts w:ascii="Times New Roman" w:hAnsi="Times New Roman" w:eastAsia="Times New Roman" w:cs="Times New Roman"/>
          <w:sz w:val="24"/>
        </w:rPr>
        <w:t>13</w:t>
      </w:r>
      <w:r>
        <w:rPr>
          <w:rFonts w:ascii="Times New Roman" w:hAnsi="Times New Roman" w:eastAsia="Times New Roman" w:cs="Times New Roman"/>
          <w:sz w:val="24"/>
        </w:rPr>
        <w:t>) above, and such collateral does not serve as security for any other obligation.</w:t>
      </w:r>
    </w:p>
    <w:p>
      <w:pPr/>
      <w:r>
        <w:rPr>
          <w:rFonts w:ascii="Times New Roman" w:hAnsi="Times New Roman" w:eastAsia="Times New Roman" w:cs="Times New Roman"/>
          <w:sz w:val="24"/>
        </w:rPr>
        <w:t>Full Disclosure</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Mortgagor has received all disclosure materials required by applicable law with respect to the making of fixed rate or adjustable rate mortgage loans, as applicable.</w:t>
      </w:r>
    </w:p>
    <w:p>
      <w:pPr/>
      <w:r>
        <w:rPr>
          <w:rFonts w:ascii="Times New Roman" w:hAnsi="Times New Roman" w:eastAsia="Times New Roman" w:cs="Times New Roman"/>
          <w:sz w:val="24"/>
        </w:rPr>
        <w:t>No Graduated Payments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Loan does not contain "graduated payment" features, does not have a shared appreciation or other contingent interest feature and does not contain any buydown provisions.</w:t>
      </w:r>
    </w:p>
    <w:p>
      <w:pPr/>
      <w:r>
        <w:rPr>
          <w:rFonts w:ascii="Times New Roman" w:hAnsi="Times New Roman" w:eastAsia="Times New Roman" w:cs="Times New Roman"/>
          <w:sz w:val="24"/>
        </w:rPr>
        <w:t>No Negative Amortization Loans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Loans have an original term to maturity of not more than 30 years, with interest payable in arrears on the first day of each month. Each Mortgage Note requires a monthly payment which is sufficient to fully amortize the original principal balance over the original term thereof (except in the case of interest only loans) and to pay interest at the related Mortgage Interest Rate. No Mortgage Loan contains terms or provisions which would result in negative amortization.</w:t>
      </w:r>
    </w:p>
    <w:p>
      <w:pPr/>
      <w:r>
        <w:rPr>
          <w:rFonts w:ascii="Times New Roman" w:hAnsi="Times New Roman" w:eastAsia="Times New Roman" w:cs="Times New Roman"/>
          <w:sz w:val="24"/>
        </w:rPr>
        <w:t>Recordable</w:t>
      </w:r>
      <w:r>
        <w:rPr>
          <w:rFonts w:ascii="Times New Roman" w:hAnsi="Times New Roman" w:eastAsia="Times New Roman" w:cs="Times New Roman"/>
          <w:sz w:val="24"/>
        </w:rPr>
        <w:t>.</w:t>
      </w:r>
      <w:r>
        <w:rPr>
          <w:rFonts w:ascii="Times New Roman" w:hAnsi="Times New Roman" w:eastAsia="Times New Roman" w:cs="Times New Roman"/>
          <w:sz w:val="24"/>
        </w:rPr>
        <w:t xml:space="preserve"> As to any Mortgage Loan which is not a MERS Mortgage Loan, the Assignment of Mortgage is in recordable form and is acceptable for recording under the laws of the jurisdiction in which the Mortgaged Property is located.</w:t>
      </w:r>
    </w:p>
    <w:p>
      <w:pPr/>
      <w:r>
        <w:rPr>
          <w:rFonts w:ascii="Times New Roman" w:hAnsi="Times New Roman" w:eastAsia="Times New Roman" w:cs="Times New Roman"/>
          <w:sz w:val="24"/>
        </w:rPr>
        <w:t>Payment Terms</w:t>
      </w:r>
      <w:r>
        <w:rPr>
          <w:rFonts w:ascii="Times New Roman" w:hAnsi="Times New Roman" w:eastAsia="Times New Roman" w:cs="Times New Roman"/>
          <w:sz w:val="24"/>
        </w:rPr>
        <w:t>.</w:t>
      </w:r>
      <w:r>
        <w:rPr>
          <w:rFonts w:ascii="Times New Roman" w:hAnsi="Times New Roman" w:eastAsia="Times New Roman" w:cs="Times New Roman"/>
          <w:sz w:val="24"/>
        </w:rPr>
        <w:t xml:space="preserve"> Payments on the Mortgage Loan commenced no more than sixty (60) days after the funds were disbursed in connection with the Mortgage Loan. The Mortgage Note is payable on the first day of each month in equal monthly installments of principal and interest (if not an interest only loan), with interest calculated and payable in arrears, sufficient to amortize the Mortgage Loan fully by the stated maturity date, over an original term of not more than thirty years from commencement of amortization.</w:t>
      </w:r>
    </w:p>
    <w:p>
      <w:pPr/>
      <w:r>
        <w:rPr>
          <w:rFonts w:ascii="Times New Roman" w:hAnsi="Times New Roman" w:eastAsia="Times New Roman" w:cs="Times New Roman"/>
          <w:sz w:val="24"/>
        </w:rPr>
        <w:t>Condominiums</w:t>
      </w:r>
      <w:r>
        <w:rPr>
          <w:rFonts w:ascii="Times New Roman" w:hAnsi="Times New Roman" w:eastAsia="Times New Roman" w:cs="Times New Roman"/>
          <w:sz w:val="24"/>
        </w:rPr>
        <w:t>.</w:t>
      </w:r>
      <w:r>
        <w:rPr>
          <w:rFonts w:ascii="Times New Roman" w:hAnsi="Times New Roman" w:eastAsia="Times New Roman" w:cs="Times New Roman"/>
          <w:sz w:val="24"/>
        </w:rPr>
        <w:t xml:space="preserve"> If the Mortgaged Property is a condominium unit or a planned unit development (other than a de minimis planned unit development), or stock in a cooperative housing corporation, such condominium, cooperative or planned unit development project meets the eligibility requirements of Fannie Mae and Freddie Mac.</w:t>
      </w:r>
    </w:p>
    <w:p>
      <w:pPr/>
      <w:r>
        <w:rPr>
          <w:rFonts w:ascii="Times New Roman" w:hAnsi="Times New Roman" w:eastAsia="Times New Roman" w:cs="Times New Roman"/>
          <w:sz w:val="24"/>
        </w:rPr>
        <w:t>Service Members' Civil Relief Act</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Mortgagor has not notified the Seller that it is requesting relief under the Servicemembers' Civil Relief Act, and the Seller has no knowledge of any relief requested or allowed to the Mortgagor under the Servicemembers' Civil Relief Act.</w:t>
      </w:r>
    </w:p>
    <w:p>
      <w:pPr/>
      <w:r>
        <w:rPr>
          <w:rFonts w:ascii="Times New Roman" w:hAnsi="Times New Roman" w:eastAsia="Times New Roman" w:cs="Times New Roman"/>
          <w:sz w:val="24"/>
        </w:rPr>
        <w:t>Construction</w:t>
      </w:r>
      <w:r>
        <w:rPr>
          <w:rFonts w:ascii="Times New Roman" w:hAnsi="Times New Roman" w:eastAsia="Times New Roman" w:cs="Times New Roman"/>
          <w:sz w:val="24"/>
        </w:rPr>
        <w:t>.</w:t>
      </w:r>
      <w:r>
        <w:rPr>
          <w:rFonts w:ascii="Times New Roman" w:hAnsi="Times New Roman" w:eastAsia="Times New Roman" w:cs="Times New Roman"/>
          <w:sz w:val="24"/>
        </w:rPr>
        <w:t xml:space="preserve"> As of the related Closing Date, no Mortgage Loan was in construction or rehabilitation status and no trade-in or exchange of a Mortgaged Property has been facilitated.</w:t>
      </w:r>
    </w:p>
    <w:p>
      <w:pPr/>
      <w:r>
        <w:rPr>
          <w:rFonts w:ascii="Times New Roman" w:hAnsi="Times New Roman" w:eastAsia="Times New Roman" w:cs="Times New Roman"/>
          <w:sz w:val="24"/>
        </w:rPr>
        <w:t>Qualified Lender</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Loan was originated by a Mortgagee approved by the Secretary of Housing and Urban Development pursuant to Sections 203 and 211 of the National Housing Act, a savings and loan association, a savings bank, a commercial bank, credit union, insurance company or similar institution supervised and examined by a federal or state authority.</w:t>
      </w:r>
    </w:p>
    <w:p>
      <w:pPr/>
      <w:r>
        <w:rPr>
          <w:rFonts w:ascii="Times New Roman" w:hAnsi="Times New Roman" w:eastAsia="Times New Roman" w:cs="Times New Roman"/>
          <w:sz w:val="24"/>
        </w:rPr>
        <w:t>No Ground Leases</w:t>
      </w:r>
      <w:r>
        <w:rPr>
          <w:rFonts w:ascii="Times New Roman" w:hAnsi="Times New Roman" w:eastAsia="Times New Roman" w:cs="Times New Roman"/>
          <w:sz w:val="24"/>
        </w:rPr>
        <w:t>.</w:t>
      </w:r>
      <w:r>
        <w:rPr>
          <w:rFonts w:ascii="Times New Roman" w:hAnsi="Times New Roman" w:eastAsia="Times New Roman" w:cs="Times New Roman"/>
          <w:sz w:val="24"/>
        </w:rPr>
        <w:t xml:space="preserve"> No Mortgaged Property is subject to a ground lease.</w:t>
      </w:r>
    </w:p>
    <w:p>
      <w:pPr/>
      <w:r>
        <w:rPr>
          <w:rFonts w:ascii="Times New Roman" w:hAnsi="Times New Roman" w:eastAsia="Times New Roman" w:cs="Times New Roman"/>
          <w:sz w:val="24"/>
        </w:rPr>
        <w:t>No Additional Fees</w:t>
      </w:r>
      <w:r>
        <w:rPr>
          <w:rFonts w:ascii="Times New Roman" w:hAnsi="Times New Roman" w:eastAsia="Times New Roman" w:cs="Times New Roman"/>
          <w:sz w:val="24"/>
        </w:rPr>
        <w:t>.</w:t>
      </w:r>
      <w:r>
        <w:rPr>
          <w:rFonts w:ascii="Times New Roman" w:hAnsi="Times New Roman" w:eastAsia="Times New Roman" w:cs="Times New Roman"/>
          <w:sz w:val="24"/>
        </w:rPr>
        <w:t xml:space="preserve"> With respect to any broker fees collected and paid on any of the Mortgage Loans, all such fees have been properly assessed to the Mortgagor and no claims will arise as to such fees that are double charged and for which the Mortgagor would be entitled to reimbursement.</w:t>
      </w:r>
    </w:p>
    <w:p>
      <w:pPr/>
      <w:r>
        <w:rPr>
          <w:rFonts w:ascii="Times New Roman" w:hAnsi="Times New Roman" w:eastAsia="Times New Roman" w:cs="Times New Roman"/>
          <w:sz w:val="24"/>
        </w:rPr>
        <w:t>Home Ownership and Equity Protection Act 1994</w:t>
      </w:r>
      <w:r>
        <w:rPr>
          <w:rFonts w:ascii="Times New Roman" w:hAnsi="Times New Roman" w:eastAsia="Times New Roman" w:cs="Times New Roman"/>
          <w:sz w:val="24"/>
        </w:rPr>
        <w:t>.</w:t>
      </w:r>
      <w:r>
        <w:rPr>
          <w:rFonts w:ascii="Times New Roman" w:hAnsi="Times New Roman" w:eastAsia="Times New Roman" w:cs="Times New Roman"/>
          <w:sz w:val="24"/>
        </w:rPr>
        <w:t xml:space="preserve"> None of the Mortgage Loans are subject to the Home Ownership and Equity Protection Act of 1994 or any comparable state law.</w:t>
      </w:r>
    </w:p>
    <w:p>
      <w:pPr/>
      <w:r>
        <w:rPr>
          <w:rFonts w:ascii="Times New Roman" w:hAnsi="Times New Roman" w:eastAsia="Times New Roman" w:cs="Times New Roman"/>
          <w:sz w:val="24"/>
        </w:rPr>
        <w:t>No Single Credit Insurance</w:t>
      </w:r>
      <w:r>
        <w:rPr>
          <w:rFonts w:ascii="Times New Roman" w:hAnsi="Times New Roman" w:eastAsia="Times New Roman" w:cs="Times New Roman"/>
          <w:sz w:val="24"/>
        </w:rPr>
        <w:t>.</w:t>
      </w:r>
      <w:r>
        <w:rPr>
          <w:rFonts w:ascii="Times New Roman" w:hAnsi="Times New Roman" w:eastAsia="Times New Roman" w:cs="Times New Roman"/>
          <w:sz w:val="24"/>
        </w:rPr>
        <w:t xml:space="preserve"> None of the proceeds of the Mortgage Loan were used to finance single premium credit insurance policies.</w:t>
      </w:r>
    </w:p>
    <w:p>
      <w:pPr/>
      <w:r>
        <w:rPr>
          <w:rFonts w:ascii="Times New Roman" w:hAnsi="Times New Roman" w:eastAsia="Times New Roman" w:cs="Times New Roman"/>
          <w:sz w:val="24"/>
        </w:rPr>
        <w:t>Principal Advances</w:t>
      </w:r>
      <w:r>
        <w:rPr>
          <w:rFonts w:ascii="Times New Roman" w:hAnsi="Times New Roman" w:eastAsia="Times New Roman" w:cs="Times New Roman"/>
          <w:sz w:val="24"/>
        </w:rPr>
        <w:t>.</w:t>
      </w:r>
      <w:r>
        <w:rPr>
          <w:rFonts w:ascii="Times New Roman" w:hAnsi="Times New Roman" w:eastAsia="Times New Roman" w:cs="Times New Roman"/>
          <w:sz w:val="24"/>
        </w:rPr>
        <w:t xml:space="preserve"> Any principal advances made to the Mortgagor prior to the related Closing Date have been consolidated with the outstanding principal amount secured by the Mortgage, and the secured principal amount, as consolidated, bears a single interest rate and single repayment term. The lien of the Mortgage securing the consolidated principal amount is expressly insured as having first lien priority by a title insurance policy, an endorsement to the policy insuring the Mortgagee's consolidated interest or by other title evidence acceptable to Fannie Mae and Freddie Mac. The consolidated principal amount does not exceed the original principal amount of the Mortgage Loan.</w:t>
      </w:r>
    </w:p>
    <w:p>
      <w:pPr/>
      <w:r>
        <w:rPr>
          <w:rFonts w:ascii="Times New Roman" w:hAnsi="Times New Roman" w:eastAsia="Times New Roman" w:cs="Times New Roman"/>
          <w:sz w:val="24"/>
        </w:rPr>
        <w:t>Interest Calculation</w:t>
      </w:r>
      <w:r>
        <w:rPr>
          <w:rFonts w:ascii="Times New Roman" w:hAnsi="Times New Roman" w:eastAsia="Times New Roman" w:cs="Times New Roman"/>
          <w:sz w:val="24"/>
        </w:rPr>
        <w:t>.</w:t>
      </w:r>
      <w:r>
        <w:rPr>
          <w:rFonts w:ascii="Times New Roman" w:hAnsi="Times New Roman" w:eastAsia="Times New Roman" w:cs="Times New Roman"/>
          <w:sz w:val="24"/>
        </w:rPr>
        <w:t xml:space="preserve"> Interest on each Mortgage Loan is calculated on the basis of a 360-day year consisting of twelve 30-day months.</w:t>
      </w:r>
    </w:p>
    <w:p>
      <w:pPr/>
      <w:r>
        <w:rPr>
          <w:rFonts w:ascii="Times New Roman" w:hAnsi="Times New Roman" w:eastAsia="Times New Roman" w:cs="Times New Roman"/>
          <w:sz w:val="24"/>
        </w:rPr>
        <w:t>No Balloon Loans</w:t>
      </w:r>
      <w:r>
        <w:rPr>
          <w:rFonts w:ascii="Times New Roman" w:hAnsi="Times New Roman" w:eastAsia="Times New Roman" w:cs="Times New Roman"/>
          <w:sz w:val="24"/>
        </w:rPr>
        <w:t>.</w:t>
      </w:r>
      <w:r>
        <w:rPr>
          <w:rFonts w:ascii="Times New Roman" w:hAnsi="Times New Roman" w:eastAsia="Times New Roman" w:cs="Times New Roman"/>
          <w:sz w:val="24"/>
        </w:rPr>
        <w:t xml:space="preserve"> No Mortgage Loan is a balloon loan.</w:t>
      </w:r>
    </w:p>
    <w:p>
      <w:pPr/>
      <w:r>
        <w:rPr>
          <w:rFonts w:ascii="Times New Roman" w:hAnsi="Times New Roman" w:eastAsia="Times New Roman" w:cs="Times New Roman"/>
          <w:sz w:val="24"/>
        </w:rPr>
        <w:t>MERS Mortgage Loans</w:t>
      </w:r>
      <w:r>
        <w:rPr>
          <w:rFonts w:ascii="Times New Roman" w:hAnsi="Times New Roman" w:eastAsia="Times New Roman" w:cs="Times New Roman"/>
          <w:sz w:val="24"/>
        </w:rPr>
        <w:t>.</w:t>
      </w:r>
      <w:r>
        <w:rPr>
          <w:rFonts w:ascii="Times New Roman" w:hAnsi="Times New Roman" w:eastAsia="Times New Roman" w:cs="Times New Roman"/>
          <w:sz w:val="24"/>
        </w:rPr>
        <w:t xml:space="preserve"> With respect to each MERS Mortgage Loan, a MIN has been assigned by MERS and such MIN is accurately provided on the Mortgage Loan Schedule. The related Assignment of Mortgage to MERS has been duly and properly recorded. With respect to each MERS Mortgage Loan, the Seller has not received any notice of liens or legal actions with respect to such Mortgage Loan and no such notices have been electronically posted by MERS.</w:t>
      </w:r>
    </w:p>
    <w:p>
      <w:pPr/>
      <w:r>
        <w:rPr>
          <w:rFonts w:ascii="Times New Roman" w:hAnsi="Times New Roman" w:eastAsia="Times New Roman" w:cs="Times New Roman"/>
          <w:sz w:val="24"/>
        </w:rPr>
        <w:t>Credit Reporting</w:t>
      </w:r>
      <w:r>
        <w:rPr>
          <w:rFonts w:ascii="Times New Roman" w:hAnsi="Times New Roman" w:eastAsia="Times New Roman" w:cs="Times New Roman"/>
          <w:sz w:val="24"/>
        </w:rPr>
        <w:t>.</w:t>
      </w:r>
      <w:r>
        <w:rPr>
          <w:rFonts w:ascii="Times New Roman" w:hAnsi="Times New Roman" w:eastAsia="Times New Roman" w:cs="Times New Roman"/>
          <w:sz w:val="24"/>
        </w:rPr>
        <w:t xml:space="preserve"> With respect to each Mortgage Loan, the Seller has fully and accurately furnished complete information on the related borrower credit files to Equifax, Experian and </w:t>
      </w:r>
      <w:r>
        <w:rPr>
          <w:rFonts w:ascii="Times New Roman" w:hAnsi="Times New Roman" w:eastAsia="Times New Roman" w:cs="Times New Roman"/>
          <w:sz w:val="24"/>
        </w:rPr>
        <w:t>Trans Union Credit Information in accordance with the Fair Credit Reporting Act and its implementing regulations.</w:t>
      </w:r>
    </w:p>
    <w:p>
      <w:pPr/>
      <w:r>
        <w:rPr>
          <w:rFonts w:ascii="Times New Roman" w:hAnsi="Times New Roman" w:eastAsia="Times New Roman" w:cs="Times New Roman"/>
          <w:sz w:val="24"/>
        </w:rPr>
        <w:t>Servicing</w:t>
      </w:r>
      <w:r>
        <w:rPr>
          <w:rFonts w:ascii="Times New Roman" w:hAnsi="Times New Roman" w:eastAsia="Times New Roman" w:cs="Times New Roman"/>
          <w:sz w:val="24"/>
        </w:rPr>
        <w:t>.</w:t>
      </w:r>
      <w:r>
        <w:rPr>
          <w:rFonts w:ascii="Times New Roman" w:hAnsi="Times New Roman" w:eastAsia="Times New Roman" w:cs="Times New Roman"/>
          <w:sz w:val="24"/>
        </w:rPr>
        <w:t xml:space="preserve"> The Mortgage Loans have been serviced in accordance with all Applicable Requirements.</w:t>
      </w:r>
    </w:p>
    <w:p>
      <w:pPr/>
      <w:r>
        <w:rPr>
          <w:rFonts w:ascii="Times New Roman" w:hAnsi="Times New Roman" w:eastAsia="Times New Roman" w:cs="Times New Roman"/>
          <w:sz w:val="24"/>
        </w:rPr>
        <w:t>Loan Type</w:t>
      </w:r>
      <w:r>
        <w:rPr>
          <w:rFonts w:ascii="Times New Roman" w:hAnsi="Times New Roman" w:eastAsia="Times New Roman" w:cs="Times New Roman"/>
          <w:sz w:val="24"/>
        </w:rPr>
        <w:t>.</w:t>
      </w:r>
      <w:r>
        <w:rPr>
          <w:rFonts w:ascii="Times New Roman" w:hAnsi="Times New Roman" w:eastAsia="Times New Roman" w:cs="Times New Roman"/>
          <w:sz w:val="24"/>
        </w:rPr>
        <w:t xml:space="preserve"> No Mortgage Loan is a "pay option ARM," "pick-a-payment" or similar type of mortgage loan or a home equity revolving line of credit.</w:t>
      </w:r>
    </w:p>
    <w:p>
      <w:pPr/>
      <w:r>
        <w:rPr>
          <w:rFonts w:ascii="Times New Roman" w:hAnsi="Times New Roman" w:eastAsia="Times New Roman" w:cs="Times New Roman"/>
          <w:sz w:val="24"/>
        </w:rPr>
        <w:t>Flood Certifications</w:t>
      </w:r>
      <w:r>
        <w:rPr>
          <w:rFonts w:ascii="Times New Roman" w:hAnsi="Times New Roman" w:eastAsia="Times New Roman" w:cs="Times New Roman"/>
          <w:sz w:val="24"/>
        </w:rPr>
        <w:t>.</w:t>
      </w:r>
      <w:r>
        <w:rPr>
          <w:rFonts w:ascii="Times New Roman" w:hAnsi="Times New Roman" w:eastAsia="Times New Roman" w:cs="Times New Roman"/>
          <w:sz w:val="24"/>
        </w:rPr>
        <w:t xml:space="preserve"> Unless otherwise agreed upon by the Seller and the Purchaser, each Mortgage Loan is covered by a life of loan, transferable flood certification contract assignable to the Purchaser.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