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Lock-Up Waiver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[LETTERHEAD OF LEAD UNDERWRITER]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[NAME/ADDRESS OF PARTIES REQUESTING WAIVER]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Re: Waiver of Lock-Up Period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Pursuant to Section [SECTION ON LOCK-UP RESTRICTIONS] of the Underwriting Agreement, dated [DATE] (the “</w:t>
      </w:r>
      <w:r>
        <w:rPr>
          <w:rFonts w:ascii="Times New Roman" w:hAnsi="Times New Roman" w:eastAsia="Times New Roman" w:cs="Times New Roman"/>
          <w:b/>
          <w:sz w:val="24"/>
        </w:rPr>
        <w:t>Underwriting Agreement</w:t>
      </w:r>
      <w:r>
        <w:rPr>
          <w:rFonts w:ascii="Times New Roman" w:hAnsi="Times New Roman" w:eastAsia="Times New Roman" w:cs="Times New Roman"/>
          <w:b w:val="0"/>
          <w:sz w:val="24"/>
        </w:rPr>
        <w:t>”), between [COMPANY] (the “Company”) and [REPRESENTATIVES], as Representatives of the several Underwriters named in Schedule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to the Underwriting Agreement (together, the “</w:t>
      </w:r>
      <w:r>
        <w:rPr>
          <w:rFonts w:ascii="Times New Roman" w:hAnsi="Times New Roman" w:eastAsia="Times New Roman" w:cs="Times New Roman"/>
          <w:b/>
          <w:sz w:val="24"/>
        </w:rPr>
        <w:t>Underwriters</w:t>
      </w:r>
      <w:r>
        <w:rPr>
          <w:rFonts w:ascii="Times New Roman" w:hAnsi="Times New Roman" w:eastAsia="Times New Roman" w:cs="Times New Roman"/>
          <w:b w:val="0"/>
          <w:sz w:val="24"/>
        </w:rPr>
        <w:t>”), and that certain letter agreement dated [DATE] among each of the Shareholders listed on Schedule [B] hereto and the Representatives (the “</w:t>
      </w:r>
      <w:r>
        <w:rPr>
          <w:rFonts w:ascii="Times New Roman" w:hAnsi="Times New Roman" w:eastAsia="Times New Roman" w:cs="Times New Roman"/>
          <w:b/>
          <w:sz w:val="24"/>
        </w:rPr>
        <w:t>Lock-Up Agreement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”), effective immediately, the Representatives, on behalf of each of the other Underwriters, hereby gives its consent to allow [you/Shareholders listed on Schedule (B)] to [sell/contribute] up to [NUMBER/REFERENCE SCHEDULE WHERE NUMBERS ARE FOR MULTIPLE VALUES] of shares [to the Company] on [DATE], for the purpose of [PURPOSE/participating in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underwritten registered public offering of the shares as defined in the Lock-Up Agreement].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Except as expressly stated herein, the Underwriting Agreement and the Lock-Up Agreement shall remain in full force and effect.</w:t>
      </w:r>
    </w:p>
    <w:p>
      <w:pPr>
        <w:keepNext w:val="0"/>
        <w:spacing w:before="20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[REPRESENTATIVES OF THE UNDERWRITERS]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[________________]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[________________]</w:t>
      </w:r>
    </w:p>
    <w:p>
      <w:pPr>
        <w:keepNext w:val="0"/>
        <w:spacing w:before="20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For themselves and the other several underwriters named in Schedule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to the Underwriting Agreement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