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MAINE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[ATTORNEY IN FACT'S 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[ATTORNEY IN FACT'S 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p>
    <w:p>
      <w:pPr/>
      <w:r>
        <w:rPr>
          <w:rFonts w:ascii="Times New Roman" w:hAnsi="Times New Roman" w:eastAsia="Times New Roman" w:cs="Times New Roman"/>
          <w:sz w:val="24"/>
        </w:rPr>
        <w:t>[LIST OTHER POWERS]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Maine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[PRINCIPAL'S 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 IN 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keepNext/>
      </w:pPr>
      <w:r>
        <w:rPr>
          <w:rFonts w:ascii="Times New Roman" w:hAnsi="Times New Roman" w:eastAsia="Times New Roman" w:cs="Times New Roman"/>
          <w:sz w:val="24"/>
        </w:rPr>
        <w:t>[NAME OF ATTORNEY IN FACT]</w:t>
      </w: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MAINE</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expires:_</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Pursuant to Maine Revised Statutes - Title 18-A, Article 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