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Maine General Warranty Deed</w:t>
      </w:r>
    </w:p>
    <w:p>
      <w:pPr>
        <w:jc w:val="center"/>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jc w:val="both"/>
      </w:pPr>
      <w:r>
        <w:rPr>
          <w:rFonts w:ascii="Times New Roman" w:hAnsi="Times New Roman" w:eastAsia="Times New Roman" w:cs="Times New Roman"/>
          <w:sz w:val="24"/>
        </w:rPr>
        <w:t xml:space="preserve">The property identified herein </w:t>
      </w:r>
      <w:r>
        <w:rPr>
          <w:rFonts w:ascii="Times New Roman" w:hAnsi="Times New Roman" w:eastAsia="Times New Roman" w:cs="Times New Roman"/>
          <w:sz w:val="24"/>
        </w:rPr>
        <w:t xml:space="preserve"> is </w:t>
      </w:r>
      <w:r>
        <w:rPr>
          <w:rFonts w:ascii="Times New Roman" w:hAnsi="Times New Roman" w:eastAsia="Times New Roman" w:cs="Times New Roman"/>
          <w:b/>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is not registered as the homestead of the Grantor(s).</w:t>
      </w:r>
    </w:p>
    <w:p>
      <w:pPr/>
    </w:p>
    <w:p>
      <w:pPr/>
    </w:p>
    <w:p>
      <w:pPr>
        <w:jc w:val="both"/>
      </w:pPr>
    </w:p>
    <w:p>
      <w:pPr>
        <w:jc w:val="both"/>
      </w:pPr>
    </w:p>
    <w:p>
      <w:pPr>
        <w:jc w:val="both"/>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date hereinunder.</w:t>
      </w:r>
    </w:p>
    <w:p>
      <w:pP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Maine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p>
    <w:p>
      <w:pPr>
        <w:ind w:firstLine="720"/>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