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Management Fee Waiver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Fund (the "Fund")]</w:t>
      </w:r>
    </w:p>
    <w:p>
      <w:pPr>
        <w:keepNext w:val="0"/>
        <w:spacing w:before="200" w:after="0" w:line="260" w:lineRule="exact"/>
        <w:ind w:left="360" w:right="0" w:firstLine="0"/>
        <w:jc w:val="both"/>
      </w:pPr>
      <w:r>
        <w:rPr>
          <w:rFonts w:ascii="Times New Roman" w:hAnsi="Times New Roman" w:eastAsia="Times New Roman" w:cs="Times New Roman"/>
          <w:b w:val="0"/>
          <w:sz w:val="24"/>
        </w:rPr>
        <w:t>[Fund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val="0"/>
          <w:sz w:val="24"/>
        </w:rPr>
        <w:t>Management Fee Waiver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Pursuant to section [section number] of the Fund's [name of limited partnership agreement] ("Partnership Agreement"), we submit this letter to you to document that [name of investment manager to the fund] ("Manager") agrees to waive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management fee with respect to the Fund, pursuant to section [section number] of the [name of management agreement] ("Management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period [start date] to [end date], Manager will waive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management fee, limiting the amount of the fee to [maximum amount]. The Manager reserves the right to cancel, modify or impose conditions on the duration, amount, or scope of the waiver at any time in its sole discretion, to the extent permissible under the terms of the Management Agreement and will provide further notice to you of any such modifications.</w:t>
      </w:r>
    </w:p>
    <w:p>
      <w:pPr>
        <w:keepNext w:val="0"/>
        <w:spacing w:before="200" w:after="0" w:line="260" w:lineRule="exact"/>
        <w:ind w:left="360" w:right="0" w:firstLine="0"/>
        <w:jc w:val="both"/>
      </w:pPr>
      <w:r>
        <w:rPr>
          <w:rFonts w:ascii="Times New Roman" w:hAnsi="Times New Roman" w:eastAsia="Times New Roman" w:cs="Times New Roman"/>
          <w:b w:val="0"/>
          <w:sz w:val="24"/>
        </w:rPr>
        <w:t>The waiver will terminate automatically in the event that the Manager ceases to act as investment manager to the Fund or in the event that the Fund is liquidated or reorganized.</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ACCEPTED</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