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Management Rights Letter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[LETTERHEAD OF PORTFOLIO COMPANY]</w:t>
      </w:r>
    </w:p>
    <w:p>
      <w:pPr>
        <w:keepNext w:val="0"/>
        <w:spacing w:before="200" w:after="0" w:line="260" w:lineRule="exact"/>
        <w:ind w:left="360" w:right="0" w:firstLine="0"/>
        <w:jc w:val="right"/>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FUND]</w:t>
      </w:r>
    </w:p>
    <w:p>
      <w:pPr>
        <w:keepNext w:val="0"/>
        <w:spacing w:before="60" w:after="0" w:line="260" w:lineRule="exact"/>
        <w:ind w:left="360" w:right="0" w:firstLine="0"/>
        <w:jc w:val="both"/>
      </w:pPr>
      <w:r>
        <w:rPr>
          <w:rFonts w:ascii="Times New Roman" w:hAnsi="Times New Roman" w:eastAsia="Times New Roman" w:cs="Times New Roman"/>
          <w:b w:val="0"/>
          <w:sz w:val="24"/>
        </w:rPr>
        <w:t>[ADDRESS OF FUND]</w:t>
      </w:r>
    </w:p>
    <w:p>
      <w:pPr>
        <w:keepNext w:val="0"/>
        <w:spacing w:before="200" w:after="0" w:line="260" w:lineRule="exact"/>
        <w:ind w:left="360" w:right="0" w:firstLine="0"/>
        <w:jc w:val="both"/>
      </w:pPr>
      <w:r>
        <w:rPr>
          <w:rFonts w:ascii="Times New Roman" w:hAnsi="Times New Roman" w:eastAsia="Times New Roman" w:cs="Times New Roman"/>
          <w:b w:val="0"/>
          <w:sz w:val="24"/>
        </w:rPr>
        <w:t>Dear Sir/Madam:</w:t>
      </w:r>
    </w:p>
    <w:p>
      <w:pPr>
        <w:keepNext w:val="0"/>
        <w:spacing w:before="120" w:after="0" w:line="260" w:lineRule="exact"/>
        <w:ind w:left="360" w:right="0" w:firstLine="240"/>
        <w:jc w:val="left"/>
      </w:pPr>
      <w:r>
        <w:rPr>
          <w:rFonts w:ascii="Times New Roman" w:hAnsi="Times New Roman" w:eastAsia="Times New Roman" w:cs="Times New Roman"/>
          <w:b w:val="0"/>
          <w:sz w:val="24"/>
        </w:rPr>
        <w:t>Reference is made to that certain (i) Note Purchase Agreement, dated as of the date first written above, by and among [PORTFOLIO COMPANY NAME] (the “</w:t>
      </w:r>
      <w:r>
        <w:rPr>
          <w:rFonts w:ascii="Times New Roman" w:hAnsi="Times New Roman" w:eastAsia="Times New Roman" w:cs="Times New Roman"/>
          <w:b w:val="0"/>
          <w:sz w:val="24"/>
        </w:rPr>
        <w:t>Company</w:t>
      </w:r>
      <w:r>
        <w:rPr>
          <w:rFonts w:ascii="Times New Roman" w:hAnsi="Times New Roman" w:eastAsia="Times New Roman" w:cs="Times New Roman"/>
          <w:b w:val="0"/>
          <w:sz w:val="24"/>
        </w:rPr>
        <w:t>”), the other Note Parties on the signature pages thereto, [FUND NAME] (“</w:t>
      </w:r>
      <w:r>
        <w:rPr>
          <w:rFonts w:ascii="Times New Roman" w:hAnsi="Times New Roman" w:eastAsia="Times New Roman" w:cs="Times New Roman"/>
          <w:b w:val="0"/>
          <w:sz w:val="24"/>
        </w:rPr>
        <w:t>Fund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limited partnership], [and [PARALLEL FUND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limited partnership]] ([together with Fund], the “</w:t>
      </w:r>
      <w:r>
        <w:rPr>
          <w:rFonts w:ascii="Times New Roman" w:hAnsi="Times New Roman" w:eastAsia="Times New Roman" w:cs="Times New Roman"/>
          <w:b w:val="0"/>
          <w:sz w:val="24"/>
        </w:rPr>
        <w:t>VCOC Investor</w:t>
      </w:r>
      <w:r>
        <w:rPr>
          <w:rFonts w:ascii="Times New Roman" w:hAnsi="Times New Roman" w:eastAsia="Times New Roman" w:cs="Times New Roman"/>
          <w:b w:val="0"/>
          <w:sz w:val="24"/>
        </w:rPr>
        <w:t>”) (the “</w:t>
      </w:r>
      <w:r>
        <w:rPr>
          <w:rFonts w:ascii="Times New Roman" w:hAnsi="Times New Roman" w:eastAsia="Times New Roman" w:cs="Times New Roman"/>
          <w:b w:val="0"/>
          <w:sz w:val="24"/>
        </w:rPr>
        <w:t>Note Purchase Agreement</w:t>
      </w:r>
      <w:r>
        <w:rPr>
          <w:rFonts w:ascii="Times New Roman" w:hAnsi="Times New Roman" w:eastAsia="Times New Roman" w:cs="Times New Roman"/>
          <w:b w:val="0"/>
          <w:sz w:val="24"/>
        </w:rPr>
        <w:t>”) and (ii) Investor Stock Purchase Agreement, dated as of the date first written above, by and among the Company, and each of the other parties listed above. All capitalized terms used herein and not otherwise defined herein shall have the meanings set forth in the Note Purchase Agreement.</w:t>
      </w:r>
    </w:p>
    <w:p>
      <w:pPr>
        <w:keepNext w:val="0"/>
        <w:spacing w:before="120" w:after="0" w:line="260" w:lineRule="exact"/>
        <w:ind w:left="360" w:right="0" w:firstLine="240"/>
        <w:jc w:val="left"/>
      </w:pPr>
      <w:r>
        <w:rPr>
          <w:rFonts w:ascii="Times New Roman" w:hAnsi="Times New Roman" w:eastAsia="Times New Roman" w:cs="Times New Roman"/>
          <w:b w:val="0"/>
          <w:sz w:val="24"/>
        </w:rPr>
        <w:t>The Company hereby agrees that for so long as the VCOC Investor, directly or indirectly through one or more conduit subsidiaries, continues to hold any subordinated notes or capital stock in the Company, the Company shall:</w:t>
      </w:r>
    </w:p>
    <w:p>
      <w:pPr>
        <w:keepNext w:val="0"/>
        <w:spacing w:before="200" w:after="0" w:line="260" w:lineRule="exact"/>
        <w:ind w:left="720" w:right="0" w:firstLine="0"/>
        <w:jc w:val="both"/>
      </w:pPr>
      <w:r>
        <w:rPr>
          <w:rFonts w:ascii="Times New Roman" w:hAnsi="Times New Roman" w:eastAsia="Times New Roman" w:cs="Times New Roman"/>
          <w:b w:val="0"/>
          <w:sz w:val="24"/>
        </w:rPr>
        <w:t>• Provide the VCOC Investor or its designated representative with:</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right to visit and inspect any of the offices and properties of the Company and its subsidiaries and inspect and copy the books and records of the Company and its subsidiaries, at such times as the VCOC Investor shall reasonably request;</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as soon as available and in any event within forty-five (45) days after the end of each quarter of each fiscal year of the Company, consolidated balance sheets of the Company and its subsidiaries as of the end of such period, and consolidated statements of income and cash flows of the Company and its subsidiaries for the period then ended prepared in conformity with generally accepted accounting principles in the United States applied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consistent basis, except as otherwise noted therein, and subject to the absence of footnotes and to year-end adjustments;</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as soon as available and in any event within one hundred twenty (120) days after the end of each fiscal year of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consolidated balance sheet of the Company and its subsidiaries as of the end of such year, and consolidated statements of income and cash flows of the Company and its subsidiaries for the year then ended prepared in conformity with generally accepted accounting principles in the United States applied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consistent basis, except as otherwise noted therein, together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auditor’s report thereon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 of established national reputation;</w:t>
      </w:r>
    </w:p>
    <w:p>
      <w:pPr>
        <w:keepNext w:val="0"/>
        <w:spacing w:before="120" w:after="0" w:line="260" w:lineRule="exact"/>
        <w:ind w:left="1080" w:right="0" w:firstLine="0"/>
        <w:jc w:val="left"/>
      </w:pPr>
      <w:r>
        <w:rPr>
          <w:rFonts w:ascii="Times New Roman" w:hAnsi="Times New Roman" w:eastAsia="Times New Roman" w:cs="Times New Roman"/>
          <w:b w:val="0"/>
          <w:sz w:val="24"/>
        </w:rPr>
        <w:t>(iv)</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to the extent the Company or any of its subsidiaries is required by law or pursuant to the terms of any outstanding indebtedness of the Company or such subsidiary to prepare such reports, any annual reports, quarterly reports and other periodic reports pursuant to Section 13 or 15(d) of the Securities Exchange Act of 1934, actually prepared by the Company or such subsidiary as soon as available; and</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copies of all materials provided to the Company’s Board of Directors at the same time as provided to the directors of the Company and if requested, copies of all materials provided to any committee of the Board of Directors or to any board of directors of the Company’s subsidiaries.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Permit the VCOC Investor to consult with and advise management (at the VCOC Investor’s sole expense) of the Company and its subsidiaries on significant business issues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does not interfere with the operations of the Company and its subsidiaries), and upon the VCOC Investor’s reasonable request management will make itself available to meet with it at the Company’s and its subsidiaries’ facilities at mutually agreeable times for such consultation and advice and the Company agrees to consider the VCOC Investor’s recommendations in good faith in connection with matters on which it is consulted, recognizing that the ultimate discretion with respect to all such matters shall be retained by the Company;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Provide the VCOC Investor or its designated representative with such other rights of consultation which the VCOC Investor’s counsel may determine to be reasonably necessary under applicable legal authorities promulgated after the date hereof to qualify its investment in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“venture capital investment” for purposes of the United States Department of Labor Regulation published at 29 C.F.R. Section 2510.3-101(d)(3)(i) (the “Plan Asset Regulation”).</w:t>
      </w:r>
    </w:p>
    <w:p>
      <w:pPr>
        <w:keepNext w:val="0"/>
        <w:spacing w:before="120" w:after="0" w:line="260" w:lineRule="exact"/>
        <w:ind w:left="360" w:right="0" w:firstLine="240"/>
        <w:jc w:val="left"/>
      </w:pPr>
      <w:r>
        <w:rPr>
          <w:rFonts w:ascii="Times New Roman" w:hAnsi="Times New Roman" w:eastAsia="Times New Roman" w:cs="Times New Roman"/>
          <w:b w:val="0"/>
          <w:sz w:val="24"/>
        </w:rPr>
        <w:t>The VCOC Investor agrees, and will require each designated representative of the VCOC Investor to agree, to hold in confidence and not use or disclose to any third party (other than its legal counsel and accountants) any confidential information provided to or learned by such party in connection with the VCOC Investor’s rights under this letter agreement except as may otherwise be required by law or legal, judicial or regulatory process, provided that the VCOC Investor takes reasonable steps to minimize the extent of any such required disclosure.</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In the event that the VCOC Investor transfers all or any portion of its investment in the Company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affiliated entity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or indirect wholly-owned conduit subsidiary of any such affiliated entity) that is intended to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venture capital operating company under the Plan Asset Regulation, such affiliated entity shall be afforded the same rights with respect to the Company afforded to the VCOC Investor hereunder and shall be treated, for such purposes,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beneficiary hereunder.</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This letter agreement and the rights and the duties of the parties hereto shall be governed by, and construed in accordance with, the laws of the State of [STATE] and may be executed in counterparts, each of which when so executed shall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taken together shall constitute one and the same instrument.</w:t>
      </w:r>
    </w:p>
    <w:p>
      <w:pPr>
        <w:keepNext w:val="0"/>
        <w:spacing w:before="200" w:after="0" w:line="260" w:lineRule="exact"/>
        <w:ind w:left="360" w:right="0" w:firstLine="0"/>
        <w:jc w:val="right"/>
      </w:pPr>
      <w:r>
        <w:rPr>
          <w:rFonts w:ascii="Times New Roman" w:hAnsi="Times New Roman" w:eastAsia="Times New Roman" w:cs="Times New Roman"/>
          <w:b w:val="0"/>
          <w:sz w:val="24"/>
        </w:rPr>
        <w:t>[Signature Page to Follow]</w:t>
      </w:r>
    </w:p>
    <w:p>
      <w:pPr/>
    </w:p>
    <w:p>
      <w:pPr>
        <w:keepNext w:val="0"/>
        <w:spacing w:before="120" w:after="0" w:line="260" w:lineRule="exact"/>
        <w:ind w:left="360" w:right="0" w:firstLine="0"/>
        <w:jc w:val="left"/>
      </w:pPr>
      <w:r>
        <w:rPr>
          <w:rFonts w:ascii="Times New Roman" w:hAnsi="Times New Roman" w:eastAsia="Times New Roman" w:cs="Times New Roman"/>
          <w:b w:val="0"/>
          <w:sz w:val="24"/>
        </w:rPr>
        <w:t>[PORTFOLIO 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200" w:after="0" w:line="260" w:lineRule="exact"/>
        <w:ind w:left="360" w:right="0" w:firstLine="0"/>
        <w:jc w:val="right"/>
      </w:pPr>
      <w:r>
        <w:rPr>
          <w:rFonts w:ascii="Times New Roman" w:hAnsi="Times New Roman" w:eastAsia="Times New Roman" w:cs="Times New Roman"/>
          <w:b w:val="0"/>
          <w:sz w:val="24"/>
        </w:rPr>
        <w:t>Agreed and acknowledged as of the date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[FUND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[PARALLEL FUND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