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MARYLAND</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Maryland</w:t>
      </w:r>
      <w:r>
        <w:rPr>
          <w:rFonts w:ascii="Times New Roman" w:hAnsi="Times New Roman" w:eastAsia="Times New Roman" w:cs="Times New Roman"/>
          <w:sz w:val="24"/>
        </w:rPr>
        <w:t xml:space="preserve">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Member(s) shall have no right to withdraw or reduce their contributions to the capital of the Company until the Company has been terminated unless otherwise set forth herein. Member(s) shall have no right to demand and receive any distribution from the Company in any form other than cash, and Member(s) shall not be entitled to interest on their capital contributions to the Company. </w:t>
      </w:r>
    </w:p>
    <w:p>
      <w:pPr/>
    </w:p>
    <w:p>
      <w:pPr/>
      <w:r>
        <w:rPr>
          <w:rFonts w:ascii="Times New Roman" w:hAnsi="Times New Roman" w:eastAsia="Times New Roman" w:cs="Times New Roman"/>
          <w:sz w:val="24"/>
        </w:rPr>
        <w:t>The liability of any Member(s) for the losses, debts, liabilities, and obligations of the Company shall be limited to the amount of the capital contribution of the Member(s) plus any distributions paid to such Member(s), such Member(s)'s share of any undistributed assets of the Company; and (only to the extent as might be required by applicable law) any amounts previously distributed to such Member(s) by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