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Massachusetts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Massachusetts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Massachusetts Limited Liability Company named _______________, LLC by filing the Articles of Organization with the office in the State of Massachusetts on _______________, 20____. The operation of the Company shall be governed by the terms of this Agreement and the applicable laws of the State of Massachusetts relating to the formation, operation and taxation of a LLC, specifically the provisions under Chapter 156C (Limited Liability Company Act) of the Massachusetts General Laws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Massachusetts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Massachusetts and shall be governed by, construed and enforced in accordance with the laws of the State of Massachusetts.</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