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LexisNexis(R) Forms FORM 491-CL-132.121.01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Transactional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Checklist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New Jersey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/>
        <w:spacing w:before="240" w:after="0" w:line="3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Form CL-132.121.01 Mechanic’s Liens: Obtaining and Enforcing Lien Under Construction Lien Law–Residential Construction Contract</w:t>
      </w:r>
    </w:p>
    <w:p>
      <w:pPr>
        <w:spacing w:line="60" w:lineRule="exact"/>
      </w:pPr>
    </w:p>
    <w:p>
      <w:pPr/>
    </w:p>
    <w:p>
      <w:pPr/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sz w:val="24"/>
        </w:rPr>
        <w:t>residential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unit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real property development designed to be transferred or sold for use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residence, the design of which is evidenced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document,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master deed or declaration, recorded with the county clerk in the county where the real property is located,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public offering statement filed with the Department of Community Affairs [N.J.S. 2A:44A-2].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Prepare Notice of Unpaid Balance and Right to File Lien [N.J.S. 2A:44A-21(b)(1); </w:t>
      </w:r>
      <w:r>
        <w:rPr>
          <w:rFonts w:ascii="Times New Roman" w:hAnsi="Times New Roman" w:eastAsia="Times New Roman" w:cs="Times New Roman"/>
          <w:b w:val="0"/>
          <w:sz w:val="24"/>
        </w:rPr>
        <w:t>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N.J.S. 2A:44A-20; </w:t>
      </w:r>
      <w:r>
        <w:rPr>
          <w:rFonts w:ascii="Times New Roman" w:hAnsi="Times New Roman" w:eastAsia="Times New Roman" w:cs="Times New Roman"/>
          <w:b w:val="0"/>
          <w:sz w:val="24"/>
        </w:rPr>
        <w:t>see also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§ 132.202[2]].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Within 60 days following date last work, services, material, or equipment was provided, lodge for record Notice of Unpaid Balance and Right to File Lien with county clerk [N.J.S. 2A:44A-6, 2A:44A-21(b)(1)].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Within 10 days after notice is lodged for record, serve copy of notice on party against whom claim asserted whether [N.J.S. 2A:44A-7(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); </w:t>
      </w:r>
      <w:r>
        <w:rPr>
          <w:rFonts w:ascii="Times New Roman" w:hAnsi="Times New Roman" w:eastAsia="Times New Roman" w:cs="Times New Roman"/>
          <w:b w:val="0"/>
          <w:sz w:val="24"/>
        </w:rPr>
        <w:t>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N.J.S. 2A:44A-21(b)(2)]: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Owner.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Community association.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Contractor.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Subcontractor.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Comply with requirements pertaining to arbitration [N.J.S. 2A:44A-21(b)(3)–(10)]: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Within 10 days from date Notice of Unpaid Balance and Right to File Lien is lodged for record, 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demand for arbitration unless parties have otherwise agreed in writing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alternative dispute resolution mechanism [N.J.S. 2A:44A-21(b)(3)].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Fulfill all requirements and procedures of American Arbitration Association to institute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expedited proceeding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single arbitrator designated by American Arbitration Association [N.J.S. 2A:44A-21(b)(3)].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arbitrator determines lien is valid and can attach within 10 days from receipt of determination [N.J.S. 2A:44A-21(b)(8)]: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Draft and lodge for record lien claim [</w:t>
      </w:r>
      <w:r>
        <w:rPr>
          <w:rFonts w:ascii="Times New Roman" w:hAnsi="Times New Roman" w:eastAsia="Times New Roman" w:cs="Times New Roman"/>
          <w:b w:val="0"/>
          <w:sz w:val="24"/>
        </w:rPr>
        <w:t>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¶ 6, </w:t>
      </w:r>
      <w:r>
        <w:rPr>
          <w:rFonts w:ascii="Times New Roman" w:hAnsi="Times New Roman" w:eastAsia="Times New Roman" w:cs="Times New Roman"/>
          <w:b w:val="0"/>
          <w:sz w:val="24"/>
        </w:rPr>
        <w:t>below</w:t>
      </w:r>
      <w:r>
        <w:rPr>
          <w:rFonts w:ascii="Times New Roman" w:hAnsi="Times New Roman" w:eastAsia="Times New Roman" w:cs="Times New Roman"/>
          <w:b w:val="0"/>
          <w:sz w:val="24"/>
        </w:rPr>
        <w:t>].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Furnish any bond, letter of credit, or funds required by arbitrator’s decision.</w:t>
      </w:r>
    </w:p>
    <w:p>
      <w:pPr/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same procedures for obtaining and enforcing lien as for non-residential construction contract [</w:t>
      </w:r>
      <w:r>
        <w:rPr>
          <w:rFonts w:ascii="Times New Roman" w:hAnsi="Times New Roman" w:eastAsia="Times New Roman" w:cs="Times New Roman"/>
          <w:b w:val="0"/>
          <w:sz w:val="24"/>
        </w:rPr>
        <w:t>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§ 132.120] except that lien claim form must be lodged for record: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 later than 10 days after receipt by claimant of arbitrator’s determination, and</w:t>
      </w:r>
    </w:p>
    <w:p>
      <w:pPr>
        <w:keepNext w:val="0"/>
        <w:spacing w:before="120" w:after="0" w:line="260" w:lineRule="exact"/>
        <w:ind w:right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Within 120 days following date last work, services, material, or equipment was provided for which payment is claimed [N.J.S. 2A:44A-6(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)(2)].</w:t>
      </w:r>
    </w:p>
    <w:p>
      <w:pPr>
        <w:keepNext w:val="0"/>
        <w:spacing w:before="120"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New Jersey Transaction Guide</w:t>
      </w:r>
    </w:p>
    <w:p>
      <w:pPr>
        <w:keepNext w:val="0"/>
        <w:spacing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Copyright 2022,  Matthew Bender &amp; Company, Inc.,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LexisNexis Group.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