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Medicaid and Children's Health Insurance Program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Premium Assistance Under Medicaid and the Children's Health Insurance Program (CHIP)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or your children are eligible for Medicaid or CHIP and you're eligible for health coverage from your employer, your state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assistance program that can help pay for coverage, using funds from their Medicaid or CHIP programs. If you or your children aren't eligible for Medicaid or CHIP, you won't be eligible for these premium assistance programs but you may be able to buy individual insurance coverage through the Health Insurance Marketplace. For more information, visit www.healthcare.gov.</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or your dependents are already enrolled in Medicaid or CHIP and you live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listed below, contact your State Medicaid or CHIP office to find out if premium assistance is available.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or your dependents are NOT currently enrolled in Medicaid or CHIP, and you think you or any of your dependents might be eligible for either of these programs, contact your State Medicaid or CHIP office or dial </w:t>
      </w:r>
      <w:r>
        <w:rPr>
          <w:rFonts w:ascii="Times New Roman" w:hAnsi="Times New Roman" w:eastAsia="Times New Roman" w:cs="Times New Roman"/>
          <w:b/>
          <w:sz w:val="24"/>
        </w:rPr>
        <w:t>1-877-KIDS NOW</w:t>
      </w:r>
      <w:r>
        <w:rPr>
          <w:rFonts w:ascii="Times New Roman" w:hAnsi="Times New Roman" w:eastAsia="Times New Roman" w:cs="Times New Roman"/>
          <w:b w:val="0"/>
          <w:sz w:val="24"/>
        </w:rPr>
        <w:t xml:space="preserve"> or www.insurekidsnow.gov to find out how to apply. If you qualify, ask your state if it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 that might help you pay the premiums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employer-sponsored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or your dependents are eligible for premium assistance under Medicaid or CHIP, as well as eligible under your employer plan, your employer must allow you to enroll in your employer plan if you aren't already enrolled. This is called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enrollment" opportunity, and </w:t>
      </w:r>
      <w:r>
        <w:rPr>
          <w:rFonts w:ascii="Times New Roman" w:hAnsi="Times New Roman" w:eastAsia="Times New Roman" w:cs="Times New Roman"/>
          <w:b/>
          <w:sz w:val="24"/>
        </w:rPr>
        <w:t>you must request coverage within 60 days of being determined eligible for premium assistance</w:t>
      </w:r>
      <w:r>
        <w:rPr>
          <w:rFonts w:ascii="Times New Roman" w:hAnsi="Times New Roman" w:eastAsia="Times New Roman" w:cs="Times New Roman"/>
          <w:b w:val="0"/>
          <w:sz w:val="24"/>
        </w:rPr>
        <w:t xml:space="preserve">. If you have questions about enrolling in your employer plan, contact the Department of Labor at www.askebsa.dol.gov or call </w:t>
      </w:r>
      <w:r>
        <w:rPr>
          <w:rFonts w:ascii="Times New Roman" w:hAnsi="Times New Roman" w:eastAsia="Times New Roman" w:cs="Times New Roman"/>
          <w:b/>
          <w:sz w:val="24"/>
        </w:rPr>
        <w:t>1-866-444-EBSA (3272)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If you live in one of the following states, you may be eligible for assistance paying your employer health plan premiums. The following list of states is current as of January 31, 2020. Contact your State for more information on eligibility –</w:t>
      </w:r>
    </w:p>
    <w:p>
      <w:pPr/>
    </w:p>
    <w:p>
      <w:pP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see if any other states have added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premium assistance program since January 31, 2020, or for more information on special enrollment rights, contact either:</w:t>
      </w:r>
    </w:p>
    <w:p>
      <w:pPr>
        <w:keepNext w:val="0"/>
        <w:spacing w:before="120" w:after="0" w:line="260" w:lineRule="exact"/>
        <w:ind w:left="1080" w:right="0" w:firstLine="0"/>
        <w:jc w:val="left"/>
      </w:pPr>
      <w:r>
        <w:rPr>
          <w:rFonts w:ascii="Times New Roman" w:hAnsi="Times New Roman" w:eastAsia="Times New Roman" w:cs="Times New Roman"/>
          <w:b/>
          <w:sz w:val="24"/>
        </w:rPr>
        <w:t>Paperwork Reduction Act Statement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According to the Paperwork Reduction Act of 1995 (Pub. L. 104-13) (PRA), no persons are required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collection of information unless such collection displays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Office of Management and Budget (OMB) control number. The Department notes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agency cannot conduct or sponsor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collection of information unless it is approved by OMB under the PRA, and displays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currently valid OMB control number, and the public is not required to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collection of information unless it displays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currently valid OMB control number. See 44 U.S.C. § 3507. Also, notwithstanding any other provisions of law, no person shall be subject to penalty for failing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collection of information if the collection of information does not display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currently valid OMB control number. See 44 U.S.C. 3512.</w:t>
      </w:r>
    </w:p>
    <w:p>
      <w:pPr>
        <w:keepNext w:val="0"/>
        <w:spacing w:before="200" w:after="0" w:line="260" w:lineRule="exact"/>
        <w:ind w:left="1440" w:right="0" w:firstLine="0"/>
        <w:jc w:val="both"/>
      </w:pPr>
      <w:r>
        <w:rPr>
          <w:rFonts w:ascii="Times New Roman" w:hAnsi="Times New Roman" w:eastAsia="Times New Roman" w:cs="Times New Roman"/>
          <w:b w:val="0"/>
          <w:sz w:val="24"/>
        </w:rPr>
        <w:t>The public reporting burden for this collection of information is estimated to average approximately seven minutes per respondent. Interested parties are encouraged to send comments regarding the burden estimate or any other aspect of this collection of information, including suggestions for reducing this burden, to the U.S. Department of Labor, Employee Benefits Security Administration, Office of Policy and Research, Attention: PRA Clearance Officer, 200 Constitution Avenue, N.W., Room N-5718, Washington, DC 20210 or email ebsa.opr@dol.gov and reference the OMB Control Number 1210-0137.</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