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between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Maryland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Maryland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Maryland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CONSTRUCTION.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Capitalized terms used in this Agreement, other than those which are defined in the LLC Agreement or the body of this Agreement, are defined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hereto. Capitalized terms not otherwise defined herein or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 CLOSING.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giving effect to the sale and purchase under this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consummation of the transactions contemplated by this Agreement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at [location], or such other place agreed to by the parties hereto, on such date and at such time as agreed to by the parties hereto (such date of the Closing being hereinafter called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and Buyer shall execute and deliver the Assignment pursuant to which Seller shall assign and deliver the Purchased Interest to Buyer;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 RELATING TO THE COMPANY.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Maryland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Articles of Organization and the LLC Agreement, each as amended to date, each of which is in full force and effect. The Company is not in violation of any of the provisions of the Articles of Organization or the LLC Agreement except where such violation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Articles of Organization or the LLC Agreement or (ii) results in the creation or imposition of any Encumbrance upon any property or assets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44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Activities.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 has not engaged in any business or activity of any kind other than the business and activities expressly contemplated and permitted by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OPTIONAL SELLER CLAUSE</w:t>
      </w:r>
      <w:r>
        <w:rPr>
          <w:rFonts w:ascii="Times New Roman" w:hAnsi="Times New Roman" w:eastAsia="Times New Roman" w:cs="Times New Roman"/>
          <w:b w:val="0"/>
          <w:sz w:val="24"/>
        </w:rPr>
        <w:t xml:space="preserve">: Except as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There are no Tax liens upon any property of the Company or any subsidiary except for liens for current Taxes not yet due and payable.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qualifies (and has since the date of its organization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Maryland, and the Company has no nonbusiness income that is allocated, apportioned, or otherwise sourced to any state other than Maryland.</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Maryland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Articles of Organization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Authorizations.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organized, validly existing and in good standing under the laws of the State of Maryland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Articles of Organization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44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44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United States Securities Law Compliance.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44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for Own Account.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44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Accredited Investor, Etc.</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PRECEDENT.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Buyer’s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08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Seller's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purposes of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party entitled to indemnification shall be known as the "Injured Party" and the party required to indemnify shall be known as the "Other Party." In the event that the Other Party shall be obligated to the Injured Party pursuant to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Waiver; Remedies.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108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08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Jurisdiction.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and Buyer each (i) irrevocably submits to the jurisdiction of the state and federal courts of the State of Maryland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108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in accordance with, the laws of the State of Maryland, regardless of the law that might otherwise govern under applicable principles of conflict of laws thereof.</w:t>
      </w:r>
    </w:p>
    <w:p>
      <w:pPr>
        <w:keepNext w:val="0"/>
        <w:spacing w:before="120" w:after="0" w:line="260" w:lineRule="exact"/>
        <w:ind w:left="108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Maryland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Maryland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Maryland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Assignment is delivered pursuant to the Purchase Agreement, is subject to the terms and conditions thereof including the representations and warranties of title to the Membership Interest set forth therein, and is governed by the laws of the State of Maryland.</w:t>
      </w: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SELLER: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Accepted by:</w:t>
      </w:r>
    </w:p>
    <w:p>
      <w:pPr>
        <w:keepNext w:val="0"/>
        <w:spacing w:before="120" w:after="0" w:line="260" w:lineRule="exact"/>
        <w:ind w:left="720" w:right="0" w:firstLine="0"/>
        <w:jc w:val="left"/>
      </w:pPr>
      <w:r>
        <w:rPr>
          <w:rFonts w:ascii="Times New Roman" w:hAnsi="Times New Roman" w:eastAsia="Times New Roman" w:cs="Times New Roman"/>
          <w:b w:val="0"/>
          <w:sz w:val="24"/>
        </w:rPr>
        <w:t>BUYER: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"Assignment"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"Buyer"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