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Memorandum of Law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MEMORANDUM OF LAW IN SUPPORT OF [MOVING PARTY DESIGNATION, E.G., DEFENDANT]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[MOVING PARTY NAME]'S MOTION [TYPE OF MOTION, E.G., TO DISMISS]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designation, e.g., Defendant] [moving party name] submits this memorandum of law in support of its motion, under [specify court rule, statute, or other legal basis for motion (e.g., Conn. Practice Book § 10-30)], to [specific relief sought, e.g., dismiss Plaintiff's complaint in this action].  As discussed in this memorandum, [moving party name] makes this motion on the ground(s) that [briefly state basis for motion, e.g., this court lacks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sufficient constitutional and statutory basis for exercising personal jurisdiction over (moving party name), who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nonresident of Connecticut] because [summarize arguments in support of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Factual Background.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[In one or more paragraphs, as needed, set forth relevant facts that support your legal arguments in support of motion].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Legal Argument.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[First Subheading, e.g., Legal Standard for Granting Motion].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[Set forth legal argument in one or more paragraphs].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[Second Subheading Summarizing Argument, e.g., This Court May Not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Constitutionally Exercise Personal Jurisdiction over Defendant because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Defendant Has Not Purposefully Availed Itself of the Privilege of Doing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Business in Connecticut]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[Set forth legal argument in one or more paragraphs].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[Continue with additional subheadings and argument, as needed]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CONCLUSION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the above reasons, [moving party designation, e.g., Defendant] [moving party name] respectfully requests that the court grant this motion, [specify relief sought, e.g., dismiss the Plaintiff's complaint], and grant any other relief that the court deems just and proper.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[Moving party designation, e.g., Defendant],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 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Memorandum of Law in Support of [moving party designation, e.g., Defendant] [moving party name]'s Motion [type of motion, e.g., to Dismiss]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