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b/>
          <w:sz w:val="24"/>
        </w:rPr>
        <w:t>Memorandum of Points &amp; Authorities in Support of Defendant’s Motion for Summary Judgment on [cause of action]</w:t>
      </w:r>
    </w:p>
    <w:p>
      <w:pPr/>
      <w:r>
        <w:rPr>
          <w:rFonts w:ascii="Times New Roman" w:hAnsi="Times New Roman" w:eastAsia="Times New Roman" w:cs="Times New Roman"/>
          <w:b/>
          <w:sz w:val="24"/>
        </w:rPr>
        <w:t>IN THE UNITED STATES DISTRICT COURT</w:t>
      </w:r>
    </w:p>
    <w:p>
      <w:pPr/>
      <w:r>
        <w:rPr>
          <w:rFonts w:ascii="Times New Roman" w:hAnsi="Times New Roman" w:eastAsia="Times New Roman" w:cs="Times New Roman"/>
          <w:b/>
          <w:sz w:val="24"/>
        </w:rPr>
        <w:t>FOR THE [NAME] DISTRICT OF [STATE]</w:t>
      </w:r>
    </w:p>
    <w:p>
      <w:pPr/>
      <w:r>
        <w:rPr>
          <w:rFonts w:ascii="Times New Roman" w:hAnsi="Times New Roman" w:eastAsia="Times New Roman" w:cs="Times New Roman"/>
          <w:b/>
          <w:sz w:val="24"/>
        </w:rPr>
        <w:t>[NAME] DIVISION</w:t>
      </w:r>
    </w:p>
    <w:p>
      <w:pPr/>
    </w:p>
    <w:p>
      <w:pPr/>
    </w:p>
    <w:p>
      <w:pPr/>
      <w:r>
        <w:rPr>
          <w:rFonts w:ascii="Times New Roman" w:hAnsi="Times New Roman" w:eastAsia="Times New Roman" w:cs="Times New Roman"/>
          <w:b/>
          <w:sz w:val="24"/>
        </w:rPr>
        <w:t>[NAME OF DEFENDANT]’S MEMORANDUM OF POINTS AND AUTHORITIES</w:t>
      </w:r>
    </w:p>
    <w:p>
      <w:pPr/>
      <w:r>
        <w:rPr>
          <w:rFonts w:ascii="Times New Roman" w:hAnsi="Times New Roman" w:eastAsia="Times New Roman" w:cs="Times New Roman"/>
          <w:b/>
          <w:sz w:val="24"/>
        </w:rPr>
        <w:t>IN SUPPORT OF ITS MOTION FOR SUMMARY JUDGMENT</w:t>
      </w:r>
    </w:p>
    <w:p>
      <w:pPr/>
      <w:r>
        <w:rPr>
          <w:rFonts w:ascii="Times New Roman" w:hAnsi="Times New Roman" w:eastAsia="Times New Roman" w:cs="Times New Roman"/>
          <w:sz w:val="24"/>
        </w:rPr>
        <w:t>I. Introduction</w:t>
      </w:r>
    </w:p>
    <w:p>
      <w:pPr/>
      <w:r>
        <w:rPr>
          <w:rFonts w:ascii="Times New Roman" w:hAnsi="Times New Roman" w:eastAsia="Times New Roman" w:cs="Times New Roman"/>
          <w:sz w:val="24"/>
        </w:rPr>
        <w:t>This is a straightforward case that arises out of [name of defendant]’s decision to [business practice at issue]. [Name of defendant] unilaterally decided to [describe business practice] in order to improve its business and compete more effectively. [Name of plaintiff] alleges [enter description of the effect that defendant’s business practice had on plaintiff]. But [name of plaintiff]’s complaints are simply unrelated to any accepted antitrust theory. The antitrust laws are designed to protect competition, not individual competitors—and there is no evidence that [name of defendant]’s business practices harmed competition. Just the opposite. [Name of defendant]’s conduct resulted in an increase in consumer welfare of the type that antitrust theory encourages. Accordingly, Plaintiff cannot satisfy the second element of a Sherman Act, Section 2 claim, and the Court should enter judgment in favor of [name of the defendant].</w:t>
      </w:r>
    </w:p>
    <w:p>
      <w:pPr/>
      <w:r>
        <w:rPr>
          <w:rFonts w:ascii="Times New Roman" w:hAnsi="Times New Roman" w:eastAsia="Times New Roman" w:cs="Times New Roman"/>
          <w:sz w:val="24"/>
        </w:rPr>
        <w:t>II. Background Facts</w:t>
      </w:r>
    </w:p>
    <w:p>
      <w:pPr/>
      <w:r>
        <w:rPr>
          <w:rFonts w:ascii="Times New Roman" w:hAnsi="Times New Roman" w:eastAsia="Times New Roman" w:cs="Times New Roman"/>
          <w:sz w:val="24"/>
        </w:rPr>
        <w:t>[fact background.]</w:t>
      </w:r>
    </w:p>
    <w:p>
      <w:pPr/>
      <w:r>
        <w:rPr>
          <w:rFonts w:ascii="Times New Roman" w:hAnsi="Times New Roman" w:eastAsia="Times New Roman" w:cs="Times New Roman"/>
          <w:sz w:val="24"/>
        </w:rPr>
        <w:t>III. Legal Standard</w:t>
      </w:r>
    </w:p>
    <w:p>
      <w:pPr/>
      <w:r>
        <w:rPr>
          <w:rFonts w:ascii="Times New Roman" w:hAnsi="Times New Roman" w:eastAsia="Times New Roman" w:cs="Times New Roman"/>
          <w:sz w:val="24"/>
        </w:rPr>
        <w:t xml:space="preserve">Summary judgment is proper “if the movant shows that there is no genuine dispute as to any material fact and the movant is entitled to judgment as a matter of law.” Fed. R. Civ. P. 56(a). Any “issue of fact must be ‘genuine’” and the non-moving party “must do more than simply show that there is some metaphysical doubt as to the material facts.” Matsushita Elec. Indus. Co., Ltd. v. Zenith Radio Corp., 475 U.S. 574, 586, 106 S. Ct. 1348, 1356 (1986). Further, “if the </w:t>
      </w:r>
      <w:r>
        <w:rPr>
          <w:rFonts w:ascii="Times New Roman" w:hAnsi="Times New Roman" w:eastAsia="Times New Roman" w:cs="Times New Roman"/>
          <w:sz w:val="24"/>
        </w:rPr>
        <w:t>claim is one that simply makes no economic sense” the claimant “must come forward with more persuasive evidence to support their claim than would otherwise be necessary.” Id.</w:t>
      </w:r>
    </w:p>
    <w:p>
      <w:pPr/>
      <w:r>
        <w:rPr>
          <w:rFonts w:ascii="Times New Roman" w:hAnsi="Times New Roman" w:eastAsia="Times New Roman" w:cs="Times New Roman"/>
          <w:sz w:val="24"/>
        </w:rPr>
        <w:t xml:space="preserve">The purpose of summary judgment is to efficiently adjudicate disputes, which can be especially valuable in antitrust cases. “[A]n appropriate award of summary judgment may save the parties and the courts from unnecessarily spending the extraordinary resources required for a full-blown antitrust trial.” </w:t>
      </w:r>
      <w:r>
        <w:rPr>
          <w:rFonts w:ascii="Times New Roman" w:hAnsi="Times New Roman" w:eastAsia="Times New Roman" w:cs="Times New Roman"/>
          <w:sz w:val="24"/>
        </w:rPr>
        <w:t>Bhan</w:t>
      </w:r>
      <w:r>
        <w:rPr>
          <w:rFonts w:ascii="Times New Roman" w:hAnsi="Times New Roman" w:eastAsia="Times New Roman" w:cs="Times New Roman"/>
          <w:sz w:val="24"/>
        </w:rPr>
        <w:t xml:space="preserve"> v. NME </w:t>
      </w:r>
      <w:r>
        <w:rPr>
          <w:rFonts w:ascii="Times New Roman" w:hAnsi="Times New Roman" w:eastAsia="Times New Roman" w:cs="Times New Roman"/>
          <w:sz w:val="24"/>
        </w:rPr>
        <w:t>Hosps</w:t>
      </w:r>
      <w:r>
        <w:rPr>
          <w:rFonts w:ascii="Times New Roman" w:hAnsi="Times New Roman" w:eastAsia="Times New Roman" w:cs="Times New Roman"/>
          <w:sz w:val="24"/>
        </w:rPr>
        <w:t>., Inc., 929 F.2d 1404, 1409 (9th Cir. 1991).</w:t>
      </w:r>
    </w:p>
    <w:p>
      <w:pPr/>
      <w:r>
        <w:rPr>
          <w:rFonts w:ascii="Times New Roman" w:hAnsi="Times New Roman" w:eastAsia="Times New Roman" w:cs="Times New Roman"/>
          <w:sz w:val="24"/>
        </w:rPr>
        <w:t>IV. Argument</w:t>
      </w:r>
    </w:p>
    <w:p>
      <w:pPr/>
      <w:r>
        <w:rPr>
          <w:rFonts w:ascii="Times New Roman" w:hAnsi="Times New Roman" w:eastAsia="Times New Roman" w:cs="Times New Roman"/>
          <w:sz w:val="24"/>
        </w:rPr>
        <w:t>There is no genuine dispute over the nature of the business practices at issue in this case. Moreover, it is a legal certainty that these practices did not harm competition within the meaning of the antitrust laws.</w:t>
      </w:r>
    </w:p>
    <w:p>
      <w:pPr/>
      <w:r>
        <w:rPr>
          <w:rFonts w:ascii="Times New Roman" w:hAnsi="Times New Roman" w:eastAsia="Times New Roman" w:cs="Times New Roman"/>
          <w:sz w:val="24"/>
        </w:rPr>
        <w:t>[arguments for opposing motion.]</w:t>
      </w:r>
    </w:p>
    <w:p>
      <w:pPr/>
      <w:r>
        <w:rPr>
          <w:rFonts w:ascii="Times New Roman" w:hAnsi="Times New Roman" w:eastAsia="Times New Roman" w:cs="Times New Roman"/>
          <w:sz w:val="24"/>
        </w:rPr>
        <w:t>V. Conclusion</w:t>
      </w:r>
    </w:p>
    <w:p>
      <w:pPr/>
      <w:r>
        <w:rPr>
          <w:rFonts w:ascii="Times New Roman" w:hAnsi="Times New Roman" w:eastAsia="Times New Roman" w:cs="Times New Roman"/>
          <w:sz w:val="24"/>
        </w:rPr>
        <w:t>For the reasons stated herein, the Court should grant summary judgment in favor of [name of defendant].</w:t>
      </w:r>
    </w:p>
    <w:p>
      <w:pPr/>
    </w:p>
    <w:p>
      <w:pPr/>
      <w:r>
        <w:rPr>
          <w:rFonts w:ascii="Times New Roman" w:hAnsi="Times New Roman" w:eastAsia="Times New Roman" w:cs="Times New Roman"/>
          <w:sz w:val="24"/>
        </w:rPr>
        <w:t>Dated: [date of filing]</w:t>
      </w:r>
    </w:p>
    <w:p>
      <w:pPr>
        <w:ind w:firstLine="4680"/>
      </w:pPr>
      <w:r>
        <w:rPr>
          <w:rFonts w:ascii="Times New Roman" w:hAnsi="Times New Roman" w:eastAsia="Times New Roman" w:cs="Times New Roman"/>
          <w:sz w:val="24"/>
        </w:rPr>
        <w:t>[COUNSEL FOR DEFENDANT]</w:t>
      </w:r>
    </w:p>
    <w:p>
      <w:pPr/>
    </w:p>
    <w:p>
      <w:pPr/>
    </w:p>
    <w:p>
      <w:pPr>
        <w:ind w:firstLine="4680"/>
      </w:pPr>
      <w:r>
        <w:rPr>
          <w:rFonts w:ascii="Times New Roman" w:hAnsi="Times New Roman" w:eastAsia="Times New Roman" w:cs="Times New Roman"/>
          <w:sz w:val="24"/>
        </w:rPr>
        <w:t>[Name of filing attorney]</w:t>
      </w:r>
    </w:p>
    <w:p>
      <w:pPr>
        <w:ind w:firstLine="4680"/>
      </w:pPr>
      <w:r>
        <w:rPr>
          <w:rFonts w:ascii="Times New Roman" w:hAnsi="Times New Roman" w:eastAsia="Times New Roman" w:cs="Times New Roman"/>
          <w:sz w:val="24"/>
        </w:rPr>
        <w:t>Attorney for [defendant]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