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Memorandum of Points and Authorities in Support of Motion for Summary Judgment in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Antitrust Case</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Memorandum of Points &amp; Authorities in Support of Defendant’s Motion for Summary Judgment on [cause of action]</w:t>
      </w:r>
    </w:p>
    <w:p>
      <w:pPr>
        <w:keepNext w:val="0"/>
        <w:spacing w:before="200" w:after="0" w:line="260" w:lineRule="exact"/>
        <w:ind w:left="720" w:right="0" w:firstLine="0"/>
        <w:jc w:val="center"/>
      </w:pPr>
      <w:r>
        <w:rPr>
          <w:rFonts w:ascii="Times New Roman" w:hAnsi="Times New Roman" w:eastAsia="Times New Roman" w:cs="Times New Roman"/>
          <w:b/>
          <w:sz w:val="24"/>
        </w:rPr>
        <w:t>IN THE UNITED STATES DISTRICT COURT</w:t>
      </w:r>
    </w:p>
    <w:p>
      <w:pPr>
        <w:keepNext w:val="0"/>
        <w:spacing w:before="200" w:after="0" w:line="260" w:lineRule="exact"/>
        <w:ind w:left="720" w:right="0" w:firstLine="0"/>
        <w:jc w:val="center"/>
      </w:pPr>
      <w:r>
        <w:rPr>
          <w:rFonts w:ascii="Times New Roman" w:hAnsi="Times New Roman" w:eastAsia="Times New Roman" w:cs="Times New Roman"/>
          <w:b/>
          <w:sz w:val="24"/>
        </w:rPr>
        <w:t>FOR THE [NAME] DISTRICT OF [STATE]</w:t>
      </w:r>
    </w:p>
    <w:p>
      <w:pPr>
        <w:keepNext w:val="0"/>
        <w:spacing w:before="200" w:after="0" w:line="260" w:lineRule="exact"/>
        <w:ind w:left="720" w:right="0" w:firstLine="0"/>
        <w:jc w:val="center"/>
      </w:pPr>
      <w:r>
        <w:rPr>
          <w:rFonts w:ascii="Times New Roman" w:hAnsi="Times New Roman" w:eastAsia="Times New Roman" w:cs="Times New Roman"/>
          <w:b/>
          <w:sz w:val="24"/>
        </w:rPr>
        <w:t>[NAME] DIVISION</w:t>
      </w:r>
    </w:p>
    <w:p>
      <w:pPr>
        <w:keepNext w:val="0"/>
        <w:spacing w:before="200" w:after="0" w:line="260" w:lineRule="exact"/>
        <w:ind w:left="720" w:right="0" w:firstLine="0"/>
        <w:jc w:val="center"/>
      </w:pPr>
      <w:r>
        <w:rPr>
          <w:rFonts w:ascii="Times New Roman" w:hAnsi="Times New Roman" w:eastAsia="Times New Roman" w:cs="Times New Roman"/>
          <w:b/>
          <w:sz w:val="24"/>
        </w:rPr>
        <w:t>[NAME OF DEFENDANT]’S MEMORANDUM OF POINTS AND AUTHORITIES</w:t>
      </w:r>
    </w:p>
    <w:p>
      <w:pPr>
        <w:keepNext w:val="0"/>
        <w:spacing w:before="200" w:after="0" w:line="260" w:lineRule="exact"/>
        <w:ind w:left="720" w:right="0" w:firstLine="0"/>
        <w:jc w:val="center"/>
      </w:pPr>
      <w:r>
        <w:rPr>
          <w:rFonts w:ascii="Times New Roman" w:hAnsi="Times New Roman" w:eastAsia="Times New Roman" w:cs="Times New Roman"/>
          <w:b/>
          <w:sz w:val="24"/>
        </w:rPr>
        <w:t>IN SUPPORT OF ITS MOTION FOR SUMMARY JUDGMENT</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Introduction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straightforward case that arises out of [name of defendant]’s decision to [business practice at issue]. [Name of defendant] unilaterally decided to [describe business practice] in order to improve its business and compete more effectively. [Name of plaintiff] alleges [enter description of the effect that defendant’s business practice had on plaintiff]. But [name of plaintiff]’s complaints are simply unrelated to any accepted antitrust theory. The antitrust laws are designed to protect competition, not individual competitors—and there is no evidence that [name of defendant]’s business practices harmed competition. Just the opposite. [Name of defendant]’s conduct resulted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in consumer welfare of the type that antitrust theory encourages. Accordingly, Plaintiff cannot satisfy the second element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Sherman Act, Section 2 claim, and the Court should enter judgment in favor of [name of the defendant].</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Background Facts</w:t>
      </w:r>
    </w:p>
    <w:p>
      <w:pPr>
        <w:keepNext w:val="0"/>
        <w:spacing w:before="200" w:after="0" w:line="260" w:lineRule="exact"/>
        <w:ind w:left="1440" w:right="0" w:firstLine="0"/>
        <w:jc w:val="both"/>
      </w:pPr>
      <w:r>
        <w:rPr>
          <w:rFonts w:ascii="Times New Roman" w:hAnsi="Times New Roman" w:eastAsia="Times New Roman" w:cs="Times New Roman"/>
          <w:b w:val="0"/>
          <w:sz w:val="24"/>
        </w:rPr>
        <w:t>[fact background.]</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Legal Standard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Summary judgment is proper “if the movant shows that there is no genuine dispute as to any material fact and the movant is entitled to judgment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 Fed. R. Civ. P. 56(</w:t>
      </w:r>
      <w:r>
        <w:rPr>
          <w:rFonts w:ascii="Times New Roman" w:hAnsi="Times New Roman" w:eastAsia="Times New Roman" w:cs="Times New Roman"/>
          <w:b/>
          <w:sz w:val="24"/>
        </w:rPr>
        <w:t>a</w:t>
      </w:r>
      <w:r>
        <w:rPr>
          <w:rFonts w:ascii="Times New Roman" w:hAnsi="Times New Roman" w:eastAsia="Times New Roman" w:cs="Times New Roman"/>
          <w:b w:val="0"/>
          <w:sz w:val="24"/>
        </w:rPr>
        <w:t>). Any “issue of fact must be ‘genuine’” and the non-moving party “must do more than simply show that there is some metaphysical doubt as to the material facts.” Matsushita Elec. Indus. Co., Ltd. v. Zenith Radio Corp., 475 U.S. 574, 586, 106 S. Ct. 1348, 1356 (1986). Further, “if the claim is one that simply makes no economic sense” the claimant “must come forward with more persuasive evidence to support their claim than would otherwise be necessary.” Id.</w:t>
      </w:r>
    </w:p>
    <w:p>
      <w:pPr>
        <w:keepNext w:val="0"/>
        <w:spacing w:before="200" w:after="0" w:line="260" w:lineRule="exact"/>
        <w:ind w:left="1440" w:right="0" w:firstLine="0"/>
        <w:jc w:val="both"/>
      </w:pPr>
      <w:r>
        <w:rPr>
          <w:rFonts w:ascii="Times New Roman" w:hAnsi="Times New Roman" w:eastAsia="Times New Roman" w:cs="Times New Roman"/>
          <w:b w:val="0"/>
          <w:sz w:val="24"/>
        </w:rPr>
        <w:t>The purpose of summary judgment is to efficiently adjudicate disputes, which can be especially valuable in antitrust cases.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appropriate award of summary judgment may save the parties and the courts from unnecessarily spending the extraordinary resources required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full-blown antitrust trial.” Bhan v. NME Hosps., Inc., 929 F.2d 1404, 1409 (9th Cir. 1991).</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Argument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There is no genuine dispute over the nature of the business practices at issue in this case. Moreover,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certainty that these practices did not harm competition within the meaning of the antitrust laws.</w:t>
      </w:r>
    </w:p>
    <w:p>
      <w:pPr>
        <w:keepNext w:val="0"/>
        <w:spacing w:before="200" w:after="0" w:line="260" w:lineRule="exact"/>
        <w:ind w:left="1440" w:right="0" w:firstLine="0"/>
        <w:jc w:val="both"/>
      </w:pPr>
      <w:r>
        <w:rPr>
          <w:rFonts w:ascii="Times New Roman" w:hAnsi="Times New Roman" w:eastAsia="Times New Roman" w:cs="Times New Roman"/>
          <w:b w:val="0"/>
          <w:sz w:val="24"/>
        </w:rPr>
        <w:t>[arguments for opposing motion.]</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Conclusion</w:t>
      </w:r>
    </w:p>
    <w:p>
      <w:pPr>
        <w:keepNext w:val="0"/>
        <w:spacing w:before="200" w:after="0" w:line="260" w:lineRule="exact"/>
        <w:ind w:left="1440" w:right="0" w:firstLine="0"/>
        <w:jc w:val="both"/>
      </w:pPr>
      <w:r>
        <w:rPr>
          <w:rFonts w:ascii="Times New Roman" w:hAnsi="Times New Roman" w:eastAsia="Times New Roman" w:cs="Times New Roman"/>
          <w:b w:val="0"/>
          <w:sz w:val="24"/>
        </w:rPr>
        <w:t>For the reasons stated herein, the Court should grant summary judgment in favor of [name of defendant].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 of filing]</w:t>
      </w:r>
    </w:p>
    <w:p>
      <w:pPr>
        <w:keepNext w:val="0"/>
        <w:spacing w:before="120" w:after="0" w:line="260" w:lineRule="exact"/>
        <w:ind w:left="360" w:right="0" w:firstLine="0"/>
        <w:jc w:val="left"/>
      </w:pPr>
      <w:r>
        <w:rPr>
          <w:rFonts w:ascii="Times New Roman" w:hAnsi="Times New Roman" w:eastAsia="Times New Roman" w:cs="Times New Roman"/>
          <w:b w:val="0"/>
          <w:sz w:val="24"/>
        </w:rPr>
        <w:t>[COUNSEL FOR DEFENDANT]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filing attorney]</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