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Memorandum to Board of Directors on Earnings Releases</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[COMPANY NAME]</w:t>
      </w:r>
    </w:p>
    <w:p>
      <w:pPr>
        <w:keepNext w:val="0"/>
        <w:spacing w:before="200" w:after="0" w:line="260" w:lineRule="exact"/>
        <w:ind w:left="360" w:right="0" w:firstLine="0"/>
        <w:jc w:val="both"/>
      </w:pPr>
      <w:r>
        <w:rPr>
          <w:rFonts w:ascii="Times New Roman" w:hAnsi="Times New Roman" w:eastAsia="Times New Roman" w:cs="Times New Roman"/>
          <w:b/>
          <w:sz w:val="24"/>
        </w:rPr>
        <w:t>TO: THE BOARD OF DIRECTORS AND SENIOR MANAGEMENT OF</w:t>
      </w:r>
      <w:r>
        <w:rPr>
          <w:rFonts w:ascii="Times New Roman" w:hAnsi="Times New Roman" w:eastAsia="Times New Roman" w:cs="Times New Roman"/>
          <w:b w:val="0"/>
          <w:sz w:val="24"/>
        </w:rPr>
        <w:t xml:space="preserve"> [COMPANY] </w:t>
      </w:r>
      <w:r>
        <w:rPr>
          <w:rFonts w:ascii="Times New Roman" w:hAnsi="Times New Roman" w:eastAsia="Times New Roman" w:cs="Times New Roman"/>
          <w:b/>
          <w:sz w:val="24"/>
        </w:rPr>
        <w:t>(The “Company”)</w:t>
      </w:r>
    </w:p>
    <w:p>
      <w:pPr>
        <w:keepNext w:val="0"/>
        <w:spacing w:before="200" w:after="0" w:line="260" w:lineRule="exact"/>
        <w:ind w:left="360" w:right="0" w:firstLine="0"/>
        <w:jc w:val="both"/>
      </w:pPr>
      <w:r>
        <w:rPr>
          <w:rFonts w:ascii="Times New Roman" w:hAnsi="Times New Roman" w:eastAsia="Times New Roman" w:cs="Times New Roman"/>
          <w:b/>
          <w:sz w:val="24"/>
        </w:rPr>
        <w:t>FROM:</w:t>
      </w:r>
      <w:r>
        <w:rPr>
          <w:rFonts w:ascii="Times New Roman" w:hAnsi="Times New Roman" w:eastAsia="Times New Roman" w:cs="Times New Roman"/>
          <w:b w:val="0"/>
          <w:sz w:val="24"/>
        </w:rPr>
        <w:t xml:space="preserve"> [FIRM, AUTHOR OF THE MEMORANDUM]</w:t>
      </w:r>
    </w:p>
    <w:p>
      <w:pPr>
        <w:keepNext w:val="0"/>
        <w:spacing w:before="200" w:after="0" w:line="260" w:lineRule="exact"/>
        <w:ind w:left="360" w:right="0" w:firstLine="0"/>
        <w:jc w:val="both"/>
      </w:pPr>
      <w:r>
        <w:rPr>
          <w:rFonts w:ascii="Times New Roman" w:hAnsi="Times New Roman" w:eastAsia="Times New Roman" w:cs="Times New Roman"/>
          <w:b/>
          <w:sz w:val="24"/>
        </w:rPr>
        <w:t>RE: Issuing Quarterly Earnings Guidance</w:t>
      </w:r>
    </w:p>
    <w:p>
      <w:pPr>
        <w:keepNext w:val="0"/>
        <w:spacing w:before="120" w:after="0" w:line="260" w:lineRule="exact"/>
        <w:ind w:left="360" w:right="0" w:firstLine="0"/>
        <w:jc w:val="left"/>
      </w:pPr>
      <w:r>
        <w:rPr>
          <w:rFonts w:ascii="Times New Roman" w:hAnsi="Times New Roman" w:eastAsia="Times New Roman" w:cs="Times New Roman"/>
          <w:b w:val="0"/>
          <w:sz w:val="24"/>
        </w:rPr>
        <w:t>Introduction and Rationale for Issuing Earnings Releases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Many public companies issue earnings releases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way of preparing investors for the financial information they will file in periodic reports to the Securities and Exchange Commission (the “SEC”), or to provide projections of future company performance, or both.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earnings release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press release that is issued before the company files its next periodic report on Form 10-Q (for quarterly releases) or Form 10-K (for annual releases) but after the period covered by the applicable periodic report has ended. It is used to highlight, or soften the impact of, certain financial information in advance of the required filing and/or communicate management’s expectations about future company performance (all such content hereinafter generally referred to as “earnings guidance”). This memorandum will discuss, with respect to earnings releases:</w:t>
      </w:r>
    </w:p>
    <w:p>
      <w:pPr>
        <w:keepNext w:val="0"/>
        <w:spacing w:before="200" w:after="0" w:line="260" w:lineRule="exact"/>
        <w:ind w:left="1080" w:right="0" w:firstLine="0"/>
        <w:jc w:val="both"/>
      </w:pPr>
      <w:r>
        <w:rPr>
          <w:rFonts w:ascii="Times New Roman" w:hAnsi="Times New Roman" w:eastAsia="Times New Roman" w:cs="Times New Roman"/>
          <w:b w:val="0"/>
          <w:sz w:val="24"/>
        </w:rPr>
        <w:t>• Reasons for and against issuing earnings releases;</w:t>
      </w:r>
    </w:p>
    <w:p>
      <w:pPr>
        <w:keepNext w:val="0"/>
        <w:spacing w:before="200" w:after="0" w:line="260" w:lineRule="exact"/>
        <w:ind w:left="1080" w:right="0" w:firstLine="0"/>
        <w:jc w:val="both"/>
      </w:pPr>
      <w:r>
        <w:rPr>
          <w:rFonts w:ascii="Times New Roman" w:hAnsi="Times New Roman" w:eastAsia="Times New Roman" w:cs="Times New Roman"/>
          <w:b w:val="0"/>
          <w:sz w:val="24"/>
        </w:rPr>
        <w:t>• Regulatory rules applicable to the form, content, and manner of distribution;</w:t>
      </w:r>
    </w:p>
    <w:p>
      <w:pPr>
        <w:keepNext w:val="0"/>
        <w:spacing w:before="200" w:after="0" w:line="260" w:lineRule="exact"/>
        <w:ind w:left="1080" w:right="0" w:firstLine="0"/>
        <w:jc w:val="both"/>
      </w:pPr>
      <w:r>
        <w:rPr>
          <w:rFonts w:ascii="Times New Roman" w:hAnsi="Times New Roman" w:eastAsia="Times New Roman" w:cs="Times New Roman"/>
          <w:b w:val="0"/>
          <w:sz w:val="24"/>
        </w:rPr>
        <w:t>• Oversight and governance</w:t>
      </w:r>
    </w:p>
    <w:p>
      <w:pPr>
        <w:keepNext w:val="0"/>
        <w:spacing w:before="200" w:after="0" w:line="260" w:lineRule="exact"/>
        <w:ind w:left="1080" w:right="0" w:firstLine="0"/>
        <w:jc w:val="both"/>
      </w:pPr>
      <w:r>
        <w:rPr>
          <w:rFonts w:ascii="Times New Roman" w:hAnsi="Times New Roman" w:eastAsia="Times New Roman" w:cs="Times New Roman"/>
          <w:b w:val="0"/>
          <w:sz w:val="24"/>
        </w:rPr>
        <w:t>• Discontinuing issuing earnings releases</w:t>
      </w:r>
    </w:p>
    <w:p>
      <w:pPr>
        <w:keepNext w:val="0"/>
        <w:spacing w:before="200" w:after="0" w:line="260" w:lineRule="exact"/>
        <w:ind w:left="720" w:right="0" w:firstLine="0"/>
        <w:jc w:val="both"/>
      </w:pPr>
      <w:r>
        <w:rPr>
          <w:rFonts w:ascii="Times New Roman" w:hAnsi="Times New Roman" w:eastAsia="Times New Roman" w:cs="Times New Roman"/>
          <w:b w:val="0"/>
          <w:sz w:val="24"/>
        </w:rPr>
        <w:t>Management should carefully consider arguments for and against issuing earnings releases, as inconsistency in the frequency of issuance of, or scope of what is covered in, the releases can lead to market confusion, which may negatively impact the company’s securities.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Opponents of issuing earnings releases typically argue that they present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significant burden on company management, distract them from running the business and promote short-term management goals at the expense of long-term development. Opponents also question the reliability of the guidance provide in earnings releases, since there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for management to present data in the most favorable light, where independent analysts would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more neutral perspective.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Proponents of issuing earnings releases argue that issuing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earnings release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heavy burden, because the performance measures being presented are already tracked by the company for internal use. Significant numbers of investors base investment decisions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“consensus estimate” aggregated from the forecasts of independent analysts that track companies’ earnings per share (“EPS”) performance, EPS projections, and the analyst’s own research. Therefore, investors will demand, and analysts will provide, short-term performance measures in any case, so management should release earnings guidance to increase the reliability of such analyses. Furthermore, proponents highlight studies that find that companies that issue earnings releases receive more coverage by analysts and more publicity in general and that stock prices experience less volatility for those companies that issue regular earnings releases.</w:t>
      </w:r>
    </w:p>
    <w:p>
      <w:pPr>
        <w:keepNext w:val="0"/>
        <w:spacing w:before="200" w:after="0" w:line="260" w:lineRule="exact"/>
        <w:ind w:left="720" w:right="0" w:firstLine="0"/>
        <w:jc w:val="both"/>
      </w:pPr>
      <w:r>
        <w:rPr>
          <w:rFonts w:ascii="Times New Roman" w:hAnsi="Times New Roman" w:eastAsia="Times New Roman" w:cs="Times New Roman"/>
          <w:b w:val="0"/>
          <w:sz w:val="24"/>
        </w:rPr>
        <w:t>When making this decision, the board of directors and senior management should consider the following factors:</w:t>
      </w:r>
    </w:p>
    <w:p>
      <w:pPr>
        <w:keepNext w:val="0"/>
        <w:spacing w:before="200" w:after="0" w:line="260" w:lineRule="exact"/>
        <w:ind w:left="1080" w:right="0" w:firstLine="0"/>
        <w:jc w:val="both"/>
      </w:pPr>
      <w:r>
        <w:rPr>
          <w:rFonts w:ascii="Times New Roman" w:hAnsi="Times New Roman" w:eastAsia="Times New Roman" w:cs="Times New Roman"/>
          <w:b w:val="0"/>
          <w:sz w:val="24"/>
        </w:rPr>
        <w:t>• Whether to issue earnings releases;</w:t>
      </w:r>
    </w:p>
    <w:p>
      <w:pPr>
        <w:keepNext w:val="0"/>
        <w:spacing w:before="200" w:after="0" w:line="260" w:lineRule="exact"/>
        <w:ind w:left="1080" w:right="0" w:firstLine="0"/>
        <w:jc w:val="both"/>
      </w:pPr>
      <w:r>
        <w:rPr>
          <w:rFonts w:ascii="Times New Roman" w:hAnsi="Times New Roman" w:eastAsia="Times New Roman" w:cs="Times New Roman"/>
          <w:b w:val="0"/>
          <w:sz w:val="24"/>
        </w:rPr>
        <w:t>• The frequency at which the Company will issue earnings releases;</w:t>
      </w:r>
    </w:p>
    <w:p>
      <w:pPr>
        <w:keepNext w:val="0"/>
        <w:spacing w:before="200" w:after="0" w:line="260" w:lineRule="exact"/>
        <w:ind w:left="1080" w:right="0" w:firstLine="0"/>
        <w:jc w:val="both"/>
      </w:pPr>
      <w:r>
        <w:rPr>
          <w:rFonts w:ascii="Times New Roman" w:hAnsi="Times New Roman" w:eastAsia="Times New Roman" w:cs="Times New Roman"/>
          <w:b w:val="0"/>
          <w:sz w:val="24"/>
        </w:rPr>
        <w:t>• Whether the Company’s earnings releases will include disclosures about the recently-completed reporting period, forward-looking statements, or both;</w:t>
      </w:r>
    </w:p>
    <w:p>
      <w:pPr>
        <w:keepNext w:val="0"/>
        <w:spacing w:before="200" w:after="0" w:line="260" w:lineRule="exact"/>
        <w:ind w:left="1080" w:right="0" w:firstLine="0"/>
        <w:jc w:val="both"/>
      </w:pPr>
      <w:r>
        <w:rPr>
          <w:rFonts w:ascii="Times New Roman" w:hAnsi="Times New Roman" w:eastAsia="Times New Roman" w:cs="Times New Roman"/>
          <w:b w:val="0"/>
          <w:sz w:val="24"/>
        </w:rPr>
        <w:t>• The length of time into the future such forward-looking statements will cover;</w:t>
      </w:r>
    </w:p>
    <w:p>
      <w:pPr>
        <w:keepNext w:val="0"/>
        <w:spacing w:before="200" w:after="0" w:line="260" w:lineRule="exact"/>
        <w:ind w:left="1080" w:right="0" w:firstLine="0"/>
        <w:jc w:val="both"/>
      </w:pPr>
      <w:r>
        <w:rPr>
          <w:rFonts w:ascii="Times New Roman" w:hAnsi="Times New Roman" w:eastAsia="Times New Roman" w:cs="Times New Roman"/>
          <w:b w:val="0"/>
          <w:sz w:val="24"/>
        </w:rPr>
        <w:t>• Whether to include quantitative and/or qualitative guidance (discussed below); and</w:t>
      </w:r>
    </w:p>
    <w:p>
      <w:pPr>
        <w:keepNext w:val="0"/>
        <w:spacing w:before="200" w:after="0" w:line="260" w:lineRule="exact"/>
        <w:ind w:left="1080" w:right="0" w:firstLine="0"/>
        <w:jc w:val="both"/>
      </w:pPr>
      <w:r>
        <w:rPr>
          <w:rFonts w:ascii="Times New Roman" w:hAnsi="Times New Roman" w:eastAsia="Times New Roman" w:cs="Times New Roman"/>
          <w:b w:val="0"/>
          <w:sz w:val="24"/>
        </w:rPr>
        <w:t>• Whether, and how often to, update earnings releases after they are released</w:t>
      </w:r>
    </w:p>
    <w:p>
      <w:pPr>
        <w:keepNext w:val="0"/>
        <w:spacing w:before="200" w:after="0" w:line="260" w:lineRule="exact"/>
        <w:ind w:left="72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earnings release will include quantitative guidance, qualitative guidance or both. Common quantitative measures found in earnings releases include: EPS, revenue, sales, profit, tax rate, capital expenditures, earnings before interest and taxes (“EBIT”) and earnings before interest, taxes, depreciation and amortization (“EBITDA”), often given as ranges. Common qualitative measures include: market and industry trends; the development of the company’s strategic objectives; and changing customer expectations or developments relating to technology, the regulatory environment, the labor market or other relevant factors.</w:t>
      </w:r>
    </w:p>
    <w:p>
      <w:pPr>
        <w:keepNext w:val="0"/>
        <w:spacing w:before="120" w:after="0" w:line="260" w:lineRule="exact"/>
        <w:ind w:left="360" w:right="0" w:firstLine="0"/>
        <w:jc w:val="left"/>
      </w:pPr>
      <w:r>
        <w:rPr>
          <w:rFonts w:ascii="Times New Roman" w:hAnsi="Times New Roman" w:eastAsia="Times New Roman" w:cs="Times New Roman"/>
          <w:b w:val="0"/>
          <w:sz w:val="24"/>
        </w:rPr>
        <w:t>Regulatory Requirements</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that issues earnings releases is subject to form, content, and timing-related requirements under several federal regulations and the rules of their respective securities exchanges. In addition to regulatory requirements, earnings releases should be drafted in accordance with the Company’s governing documents and disclosure policy [in coordination with the disclosure committee of the board of directors]. Final approval of each release will come from the audit committee of the board of directors, the full board of directors, or the Chief Executive Officer.</w:t>
      </w:r>
    </w:p>
    <w:p>
      <w:pPr>
        <w:keepNext w:val="0"/>
        <w:spacing w:before="120" w:after="0" w:line="260" w:lineRule="exact"/>
        <w:ind w:left="720" w:right="0" w:firstLine="0"/>
        <w:jc w:val="left"/>
      </w:pPr>
      <w:r>
        <w:rPr>
          <w:rFonts w:ascii="Times New Roman" w:hAnsi="Times New Roman" w:eastAsia="Times New Roman" w:cs="Times New Roman"/>
          <w:b w:val="0"/>
          <w:sz w:val="24"/>
        </w:rPr>
        <w:t>Regulation Fair Disclosure (“Regulation FD”)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discloses material non-public information (“MNPI”) to any party or group, Regulation FD requires that such information is promptly disclosed to the public to prevent any group or class of investor from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advantage over any other. The SEC generally considers earnings information to be “material” under the definition of MNPI for Regulation FD purposes. Therefore, issuances of earnings releases must comply with Regulation FD. See 17 C.F.R. § 243.100 </w:t>
      </w:r>
      <w:r>
        <w:rPr>
          <w:rFonts w:ascii="Times New Roman" w:hAnsi="Times New Roman" w:eastAsia="Times New Roman" w:cs="Times New Roman"/>
          <w:b w:val="0"/>
          <w:sz w:val="24"/>
        </w:rPr>
        <w:t>et seq.</w:t>
      </w:r>
      <w:r>
        <w:rPr>
          <w:rFonts w:ascii="Times New Roman" w:hAnsi="Times New Roman" w:eastAsia="Times New Roman" w:cs="Times New Roman"/>
          <w:b w:val="0"/>
          <w:sz w:val="24"/>
        </w:rPr>
        <w:t xml:space="preserve"> and SEC Release No. 33-7881 (August 15, 2000), 2000 SEC LEXIS 1672.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Regulation FD also applies when earnings guidance is provided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conference call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webcast. If it chooses to offer earnings guidance in this form, the Company should provide adequate prior notice of the date, time, subject matter, and access information to the shareholders. See SEC Regulation FD C&amp;DI Question 102.01.</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disclosure satisfies Regulation FD when it is made by filing or furnishing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8-K containing the MNPI to the SEC or when it is made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method or combination of methods reasonably designed to provide for broad, non-exclusionary public distribution of the MNPI. When the disclosure is made intentionally, it must be made </w:t>
      </w:r>
      <w:r>
        <w:rPr>
          <w:rFonts w:ascii="Times New Roman" w:hAnsi="Times New Roman" w:eastAsia="Times New Roman" w:cs="Times New Roman"/>
          <w:b w:val="0"/>
          <w:sz w:val="24"/>
        </w:rPr>
        <w:t>simultaneously</w:t>
      </w:r>
      <w:r>
        <w:rPr>
          <w:rFonts w:ascii="Times New Roman" w:hAnsi="Times New Roman" w:eastAsia="Times New Roman" w:cs="Times New Roman"/>
          <w:b w:val="0"/>
          <w:sz w:val="24"/>
        </w:rPr>
        <w:t xml:space="preserve"> to the public.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may find it convenient to post the information on its website to take the “method or combination of methods” approach to Regulation FD compliance for earnings releases. If so, the Company must first determine that its website is (1)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recognized channel of distribution of information, (2)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means of disseminating the information to the market in general (and not just select parties or groups), and (3) would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waiting period for investors and the market to react to the information posted. The company must make similar determinations for other dissemination methods, such as via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press release.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Often, the simplest and most certain way of complying with Regulation FD is to furnish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8-K containing the earnings release to the SEC.</w:t>
      </w:r>
    </w:p>
    <w:p>
      <w:pPr>
        <w:keepNext w:val="0"/>
        <w:spacing w:before="120" w:after="0" w:line="260" w:lineRule="exact"/>
        <w:ind w:left="720" w:right="0" w:firstLine="0"/>
        <w:jc w:val="left"/>
      </w:pPr>
      <w:r>
        <w:rPr>
          <w:rFonts w:ascii="Times New Roman" w:hAnsi="Times New Roman" w:eastAsia="Times New Roman" w:cs="Times New Roman"/>
          <w:b w:val="0"/>
          <w:sz w:val="24"/>
        </w:rPr>
        <w:t>Disclosure on Form 8-K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can easily satisfy its Regulation FD obligations by furnishing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report on Form 8-K to the SEC that contains the date of the release,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brief identification of the release, and the text of the written release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transcript and slides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oral release, as applicable. Although Regulation FD must be complied with in any case,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8-K is </w:t>
      </w:r>
      <w:r>
        <w:rPr>
          <w:rFonts w:ascii="Times New Roman" w:hAnsi="Times New Roman" w:eastAsia="Times New Roman" w:cs="Times New Roman"/>
          <w:b w:val="0"/>
          <w:sz w:val="24"/>
        </w:rPr>
        <w:t>not</w:t>
      </w:r>
      <w:r>
        <w:rPr>
          <w:rFonts w:ascii="Times New Roman" w:hAnsi="Times New Roman" w:eastAsia="Times New Roman" w:cs="Times New Roman"/>
          <w:b w:val="0"/>
          <w:sz w:val="24"/>
        </w:rPr>
        <w:t xml:space="preserve"> required in either of the following circumstances: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When the earnings release does not contain disclosures relating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past reporting period; or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When the earnings guidance is given by conference call or webcast that is complementary to, and occurs within 48 hours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announcement for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8-K was already filed and certain other information availability requirements are satisfied</w:t>
      </w:r>
    </w:p>
    <w:p>
      <w:pPr>
        <w:keepNext w:val="0"/>
        <w:spacing w:before="120" w:after="0" w:line="260" w:lineRule="exact"/>
        <w:ind w:left="720" w:right="0" w:firstLine="0"/>
        <w:jc w:val="left"/>
      </w:pPr>
      <w:r>
        <w:rPr>
          <w:rFonts w:ascii="Times New Roman" w:hAnsi="Times New Roman" w:eastAsia="Times New Roman" w:cs="Times New Roman"/>
          <w:b w:val="0"/>
          <w:sz w:val="24"/>
        </w:rPr>
        <w:t>Content Requirements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regulations applicable to earnings releases also govern what information may be presented in them. Many companies release financial information that is not prepared in accordance with Generally Accepted Accounting Principles (“GAAP”). Common examples of non-GAAP financial information include EBIT, EBITDA, adjusted revenues, or core earnings. While including such information is generally permissible under Regulation G and Regulation S-K, together with Item 2.02 of Form 8-K, the most recent applicable GAAP information must be presented with equal prominence alongside any non-GAAP financial information included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filing, along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reconciliation of the non-GAAP measures to the applicable GAAP measures, the differences between the non-GAAP and GAAP measures, and statements discussing management’s use of, and rationale for presenting, the non-GAAP financial information. </w:t>
      </w:r>
      <w:r>
        <w:rPr>
          <w:rFonts w:ascii="Times New Roman" w:hAnsi="Times New Roman" w:eastAsia="Times New Roman" w:cs="Times New Roman"/>
          <w:b w:val="0"/>
          <w:sz w:val="24"/>
        </w:rPr>
        <w:t>See</w:t>
      </w:r>
      <w:r>
        <w:rPr>
          <w:rFonts w:ascii="Times New Roman" w:hAnsi="Times New Roman" w:eastAsia="Times New Roman" w:cs="Times New Roman"/>
          <w:b w:val="0"/>
          <w:sz w:val="24"/>
        </w:rPr>
        <w:t xml:space="preserve"> 17 C.F.R. §§ 244.100 and 229.10(e)(1)(i). In the context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conference call or webcast, the Company’s website should make available the most recent comparable GAAP information and the script should refer the audience to the location of such information on the Company’s website.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Additionally, Earnings releases commonly discuss management’s outlook on future trends that they expect to affect company performance. The use of forward-looking statements may result in liability if they turn out not to be true, unless specific cautionary language tailored to the statements accompanies them. </w:t>
      </w:r>
      <w:r>
        <w:rPr>
          <w:rFonts w:ascii="Times New Roman" w:hAnsi="Times New Roman" w:eastAsia="Times New Roman" w:cs="Times New Roman"/>
          <w:b w:val="0"/>
          <w:sz w:val="24"/>
        </w:rPr>
        <w:t>See</w:t>
      </w:r>
      <w:r>
        <w:rPr>
          <w:rFonts w:ascii="Times New Roman" w:hAnsi="Times New Roman" w:eastAsia="Times New Roman" w:cs="Times New Roman"/>
          <w:b w:val="0"/>
          <w:sz w:val="24"/>
        </w:rPr>
        <w:t xml:space="preserve"> Section 27A (15 U.S.C. § 77z-2) of the Securities Act of 1933, as amended and Section 21E (15 U.S.C. § 78u-5) of the Securities Exchange Act of 1934, as amended.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the context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conference call or webcast, all earnings guidance is highly scripted and preceded by cautionary language stating that (i) management may make forward-looking statements during the presentation; (ii) actual results could differ materially from any statements made by management; and (iii) additional information relating to factors that could cause results to differ is available in the Company’s most recent SEC filing and in the written earnings release. Management should be very careful not to deviate from the call script and to answer requests for additional unplanned-for forward-looking statements with “no comment”.</w:t>
      </w:r>
    </w:p>
    <w:p>
      <w:pPr>
        <w:keepNext w:val="0"/>
        <w:spacing w:before="120" w:after="0" w:line="260" w:lineRule="exact"/>
        <w:ind w:left="360" w:right="0" w:firstLine="0"/>
        <w:jc w:val="left"/>
      </w:pPr>
      <w:r>
        <w:rPr>
          <w:rFonts w:ascii="Times New Roman" w:hAnsi="Times New Roman" w:eastAsia="Times New Roman" w:cs="Times New Roman"/>
          <w:b w:val="0"/>
          <w:sz w:val="24"/>
        </w:rPr>
        <w:t>Timeline and Process</w:t>
      </w:r>
    </w:p>
    <w:p>
      <w:pPr>
        <w:keepNext w:val="0"/>
        <w:spacing w:before="120" w:after="0" w:line="260" w:lineRule="exact"/>
        <w:ind w:left="720" w:right="0" w:firstLine="0"/>
        <w:jc w:val="left"/>
      </w:pPr>
      <w:r>
        <w:rPr>
          <w:rFonts w:ascii="Times New Roman" w:hAnsi="Times New Roman" w:eastAsia="Times New Roman" w:cs="Times New Roman"/>
          <w:b w:val="0"/>
          <w:sz w:val="24"/>
        </w:rPr>
        <w:t>Governance and Oversight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interplay of the regulations discussed above dictate the timeline for the earnings release process. Before releasing earnings guidance, whether in the form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earnings release,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conference call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webcast, the Company will issue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press release announcing the upcoming earnings guidance (and,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call or webcast, timing and access information). On the date described in the announcing press release, the company will simultaneously issue the earnings release containing the guidance and furnish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8-K with the information required by Item 2.02 to the SEC. Similar notifications will need to be made to [SECURITIES EXCHANGES ON WHICH THE COMPANY IS LISTED] and any other securities exchange on which the Company’s securities may be listed in the future.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To ensure the process goes smoothly and to minimize exposure to liability for statements made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earnings release, the Company should create and follow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earnings guidance policy. This policy will govern the release schedule, what information will be released, how the information to be released will be vetted, and in what circumstances it will update past earnings releases. Many companies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disclosure committee of the board of directors to facilitate this process. However, general oversight and final approval of earnings releases will rest with the audit committee.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After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earnings release is issued, the company will need to determine whether, and how often, it will be updated. To ensure that investors receive the most up-to-date information and to avoid liability under Rule 10b-5 and other antifraud rules, the company should periodically review older earnings releases to ensure that any forward-looking statements in them have not become misleading and do not omit new information that would make them not misleading. [In addition, the courts in the Company’s jurisdiction have held that companies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to update forward-looking statements in earnings releases in certain circumstances.]</w:t>
      </w:r>
    </w:p>
    <w:p>
      <w:pPr>
        <w:keepNext w:val="0"/>
        <w:spacing w:before="120" w:after="0" w:line="260" w:lineRule="exact"/>
        <w:ind w:left="720" w:right="0" w:firstLine="0"/>
        <w:jc w:val="left"/>
      </w:pPr>
      <w:r>
        <w:rPr>
          <w:rFonts w:ascii="Times New Roman" w:hAnsi="Times New Roman" w:eastAsia="Times New Roman" w:cs="Times New Roman"/>
          <w:b w:val="0"/>
          <w:sz w:val="24"/>
        </w:rPr>
        <w:t>Going Dark</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that chooses to discontinue issuing earnings guidance, known as “going dark”, should do so after careful consideration and preparation of investors for the change in communications. Abrupt or unannounced failures to issue earnings guidance, after the market has come to expect it, can give investors the impression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has missed performance expectations and may negatively impact the company’s securities.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Well in advance of going dark, management should be sure to communicate to investors its rationale for doing so. Common rationales for going dark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shift in management focus to the long-term development of the company and increased availability of management resources. In addition, it is best for management to announce its intention to discontinue earnings releases, or to shift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quarterly release schedule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release schedule, as early as possible before doing so to allow the market to have more time to assess the change before the next periodic filing with the SEC is made.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