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Memorandum to Board of Directors on Negotiating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Settlement Agreement with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Activist Investor</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[COMPANY NAME]</w:t>
      </w:r>
    </w:p>
    <w:p>
      <w:pPr>
        <w:keepNext w:val="0"/>
        <w:spacing w:before="200" w:after="0" w:line="260" w:lineRule="exact"/>
        <w:ind w:left="360" w:right="0" w:firstLine="0"/>
        <w:jc w:val="both"/>
      </w:pPr>
      <w:r>
        <w:rPr>
          <w:rFonts w:ascii="Times New Roman" w:hAnsi="Times New Roman" w:eastAsia="Times New Roman" w:cs="Times New Roman"/>
          <w:b/>
          <w:sz w:val="24"/>
        </w:rPr>
        <w:t>To: THE BOARD OF DIRECTORS AND SENIOR MANAGEMENT OF [COMPANY NAME] (THE “COMPANY”)</w:t>
      </w:r>
    </w:p>
    <w:p>
      <w:pPr>
        <w:keepNext w:val="0"/>
        <w:spacing w:before="200" w:after="0" w:line="260" w:lineRule="exact"/>
        <w:ind w:left="360" w:right="0" w:firstLine="0"/>
        <w:jc w:val="both"/>
      </w:pPr>
      <w:r>
        <w:rPr>
          <w:rFonts w:ascii="Times New Roman" w:hAnsi="Times New Roman" w:eastAsia="Times New Roman" w:cs="Times New Roman"/>
          <w:b/>
          <w:sz w:val="24"/>
        </w:rPr>
        <w:t>From: [IN-HOUSE COUNSEL/OUTSIDE COUNSEL]</w:t>
      </w:r>
    </w:p>
    <w:p>
      <w:pPr>
        <w:keepNext w:val="0"/>
        <w:spacing w:before="200" w:after="0" w:line="260" w:lineRule="exact"/>
        <w:ind w:left="360" w:right="0" w:firstLine="0"/>
        <w:jc w:val="both"/>
      </w:pPr>
      <w:r>
        <w:rPr>
          <w:rFonts w:ascii="Times New Roman" w:hAnsi="Times New Roman" w:eastAsia="Times New Roman" w:cs="Times New Roman"/>
          <w:b/>
          <w:sz w:val="24"/>
        </w:rPr>
        <w:t>Date: [DATE]</w:t>
      </w:r>
    </w:p>
    <w:p>
      <w:pPr>
        <w:keepNext w:val="0"/>
        <w:spacing w:before="200" w:after="0" w:line="260" w:lineRule="exact"/>
        <w:ind w:left="360" w:right="0" w:firstLine="0"/>
        <w:jc w:val="both"/>
      </w:pPr>
      <w:r>
        <w:rPr>
          <w:rFonts w:ascii="Times New Roman" w:hAnsi="Times New Roman" w:eastAsia="Times New Roman" w:cs="Times New Roman"/>
          <w:b/>
          <w:sz w:val="24"/>
        </w:rPr>
        <w:t>Re: Negotiation of Settlement Agreements with Activist Investor</w:t>
      </w:r>
    </w:p>
    <w:p>
      <w:pPr>
        <w:keepNext w:val="0"/>
        <w:spacing w:before="120" w:after="0" w:line="260" w:lineRule="exact"/>
        <w:ind w:left="360" w:right="0" w:firstLine="0"/>
        <w:jc w:val="left"/>
      </w:pP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Recent years have seen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campaigns by activist investors seeking to have their nominees elected to the boards of publicly-traded companies. These campaigns can be expensive and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time commitment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directors and management, especially when they involve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 Accordingly, companies typically consider the advantages and disadvantages to the company of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agreement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 pursuant to which the company agrees, in exchange for the suspension of the activist campaign and certain other protections, to accede to some or all of the activist’s demands, which often include appointing some or all of the activist investor’s proposed nominees to the company’s board of directors. Whether and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will actually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agreement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will depend on the particular circumstances of the activist campaign it is involved in, including the identity of the particular activist (is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respected “brand name” organization?), the legitimacy (or otherwise) of its concerns regarding the company, the merits, and feasibility of achieving, its stated objectives regarding the company, and, if applicable, the number and quality of the individuals proposed by the activist for election to the board. In light of the high stakes involved in negotiating settlement agreements, it is important that the Company be informed of the customary terms of these agreements in advance of negotiating one. This memorandum discusses: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principal reasons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to decide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Potential issues that arise in negotiating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agreement, including, if the activist proposes to nominate individuals to the company’s board, how to address any issues arising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investor’s choice of proposed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Other customary terms of settlement agreements</w:t>
      </w:r>
    </w:p>
    <w:p>
      <w:pPr>
        <w:keepNext w:val="0"/>
        <w:spacing w:before="120" w:after="0" w:line="260" w:lineRule="exact"/>
        <w:ind w:left="360" w:right="0" w:firstLine="0"/>
        <w:jc w:val="left"/>
      </w:pPr>
      <w:r>
        <w:rPr>
          <w:rFonts w:ascii="Times New Roman" w:hAnsi="Times New Roman" w:eastAsia="Times New Roman" w:cs="Times New Roman"/>
          <w:b/>
          <w:sz w:val="24"/>
        </w:rPr>
        <w:t xml:space="preserve">Principal Reasons to Enter into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Settlement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number of announced activist campaigns has generally trended upward in recent years. After 2016’s record 27 campaigns targeting 489 U.S. companies of campaigns (as reported by Activist Insight), slight decreases in 2018 and 2019,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significant decrease during the pandemic in 2020,. 2021 has shown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notable resurgence in activist campaigns. As reported by Lazard’s Shareholder Advisory Group, in “Q1 2021 Review of Shareholder Activism” (April 2021), activists mounted 37 campaigns in Q1 2021, nearly half of the number of campaigns launched in all of 2020.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These campaigns can be expensive and time consuming, distracting management from operating the company, especially when they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proxy contest; in 2020, the average cost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contest was over $2.9 million, while the average costs for activists were $633,958. See Activist Insight, “Proxy Fights 2020” (October 2020). In addition, because activist campaigns are typically waged publicly, the negative press coverage associated with them can impact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relationships with its key constituents, including its shareholders, employees, customers and suppliers. Avoiding these costs and negative publicity often weighs heavily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consideration of whether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agreement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 particularly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considers that activists’ success rate in having their “short slate” nominees elected has continued to rise. Notably, “long slate” nominations, in which activists seek to replace at least 50% of the incumbent board, accounted for more than one-third of all board nomination campaigns in the first quarter of 2019 (compared to 17% of board nomination campaigns in 2018), signalling activists’ growing confidence and ambitions when demanding changes in board composition.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Companies may also choose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agreement for more positive reasons, particularly when the activist proposes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 slate of directors for election to the board who are highly qualified, possess relevant experience, and who express commitment to creating long-term value for the company and its shareholders. Agreeing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investor’s nominees to the board of directors of the company, thus, is seen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way of tapping into their and the activist investor’s expertise, while also bringing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point of view to the company’s board of directors. There is empirical evidence supporting this rationale, as at least one study suggests that settled campaigns tend to result in higher shareholder returns than campaigns in which either the activist investor or the company wins.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Another reason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to enter into settlement agreements is precisely because of some of the substantive provisions they typically contain, such as standstill, voting, non-disparagement, and, occasionally, restriction on transfer provisions. Taken together, these provisions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with “breathing room” during the period these provisions are in effect, and therefore can be inherently valuable in and of themselves.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frequency and speed with which companies have entered into settlement agreements in recent years have been the subject of pushback from certain institutional investors. In particular, State Street Global Advisors (SSGA) has noted that  companies have conceded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steadily increasing number of board seats to activist investors, including in 2018, when 247 activist campaigns targeted companies globally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capitalization of over $500 million and those companies conceded 161 board seats to activists.  Institutional investors are becoming concerned that companies are entering into settlement agreements with activists too easily. While settlement agreements can protect the interests of the board and management of the settling company, they can fail to adequately protect the interests of long-term shareholders, by having terms that are too short, failing to have minimum ownership requirements and having no or insufficient restrictions on transfer, including in respect of pledging arrangements.</w:t>
      </w:r>
    </w:p>
    <w:p>
      <w:pPr>
        <w:keepNext w:val="0"/>
        <w:spacing w:before="120" w:after="0" w:line="260" w:lineRule="exact"/>
        <w:ind w:left="360" w:right="0" w:firstLine="0"/>
        <w:jc w:val="left"/>
      </w:pPr>
      <w:r>
        <w:rPr>
          <w:rFonts w:ascii="Times New Roman" w:hAnsi="Times New Roman" w:eastAsia="Times New Roman" w:cs="Times New Roman"/>
          <w:b/>
          <w:sz w:val="24"/>
        </w:rPr>
        <w:t xml:space="preserve">Addressing Issues with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Activist Investor’s Choice of Directors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Regardless of the reasons the Company has for deciding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agreement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 if the activist proposes to nominate directors to the Company’s board of directors, it is important that the Company be aware of the issues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investor’s choice of directors can present to the Company and its board, so that it can properly address them in the settlement agreement.</w:t>
      </w:r>
    </w:p>
    <w:p>
      <w:pPr>
        <w:keepNext w:val="0"/>
        <w:spacing w:before="120" w:after="0" w:line="260" w:lineRule="exact"/>
        <w:ind w:left="360" w:right="0" w:firstLine="0"/>
        <w:jc w:val="left"/>
      </w:pPr>
      <w:r>
        <w:rPr>
          <w:rFonts w:ascii="Times New Roman" w:hAnsi="Times New Roman" w:eastAsia="Times New Roman" w:cs="Times New Roman"/>
          <w:b/>
          <w:sz w:val="24"/>
        </w:rPr>
        <w:t>Qualification and Integration Issues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first issue the Company should consider when evaluating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investor’s proposed directors is the qualifications of the proposed directors to serve on the Company’s board. Any analysis on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director is qualified to serve on the Company’s board should take into consideration the current needs of the board, as well as any particular points of emphasis that the Company has identified as being critical to its board composition, including experience in the industry, mix of board member skill sets and diversity. With respect to the latter point, it has been noted that activist investors infrequently nominate women to serve on boards of directors, with women comprising only 18% of the activist-nominated directors globally for 2018 at companies with market capitalizations greater than $500 million. However,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recent counter-trend toward environmental, social, and governance (ESG) activism (along with new exchange rules favoring more diverse boards) may overcome this tendency. The Company should also consider how well the proposed directors are likely to “fit” with the Company’s board, based on, among other things, their past experience, including board experience.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can address these issues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ways in the settlement agreement. One option is to agree on the directors to be appointed by the activist investor prior to the execution of the settlement agreement and name them in the agreement. However, if this option is not practical, other possible options are to provide in the settlement agreement that the proposed directors must be “reasonably acceptable” to the Company or that they will be agreed by the activist investor and the Company, each acting in good faith. The Company should also consider having these provisions apply to any potential replacement directors that can be nominated by the activist investor. Finally, to the extent the Company is concerned that integration of the proposed directors to the board may prove difficult, the Company can consider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in the settlement agreement regarding the retention of outside consultants to provide advice on board integration.</w:t>
      </w:r>
    </w:p>
    <w:p>
      <w:pPr>
        <w:keepNext w:val="0"/>
        <w:spacing w:before="120" w:after="0" w:line="260" w:lineRule="exact"/>
        <w:ind w:left="360" w:right="0" w:firstLine="0"/>
        <w:jc w:val="left"/>
      </w:pPr>
      <w:r>
        <w:rPr>
          <w:rFonts w:ascii="Times New Roman" w:hAnsi="Times New Roman" w:eastAsia="Times New Roman" w:cs="Times New Roman"/>
          <w:b/>
          <w:sz w:val="24"/>
        </w:rPr>
        <w:t>Number of Board Seats, Duration of Tenure and Board Size Issues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Another key issue for the Company when negotiating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agreement is the number of seats that will be granted to the activist investor and whether those board seats will result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size of the board or from the resignation of current directors. Activist investors are typically successful in negotiating for the appointment of between one and three directors. J.P. Morgan’s “2019 Proxy Season Review” found that 51% of the completed campaigns as of June 30, 2019 (excluding activism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were settled, which led to 91 of the 124 board seats gained by activists being granted through settlement agreements.  Lazard’s Shareholder Advisory Group, in“2020 Review of Shareholder Activism” (January 2021) found that, from 2016 to 2020, 83% of the board seats filled by activists’ nominees were filled by settlement, with 2020 showing 107 seats filled by settlement and 24 by proxy fight. The Company’s ultimate negotiating position on the number of board seats it is willing to grant to the activist investor should take into account the activist investor’s ownership stake and the board’s size at the time the settlement agreement is executed.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Similarly, when deciding whether to accommodate the granting of board seats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Company’s board size or through the resignation of current directors, the Company must balance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competing concerns. On the one hand, the activist investor is likely to demand that its directors be appointed immediately and that the board size not be increased, as that would result in the activist’s directors having diminished influence. On the other hand, the Company will likely want to avoid having to request any of its current directors to immediately resign from the board. Recently, settlement agreements have tried to address these issues through arrangements calling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appointment of activist investor directors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Company’s board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phase-out of current directors at the next annual meeting or more gradually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longer period of time resulting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to the board’s original size. Although,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organizational documents will often permit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board’s size, the Company should confirm that it is permitted to do so under its organizational documents or otherwise ensure these are properly amended.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Even if the Company agrees to immediately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investor’s directors to its board, in the absence of the board being classified (which is increasingly rare), the appointed directors will serve on the board only until the company’s next annual shareholders meeting, when they will need to be elected by shareholders. Accordingly, settlement agreements often require the company to include the activist investor’s directors in its slate of director nominees at the next annual shareholders meeting, and to use the same level of efforts as it uses in respect of its other nominees to cause their election to the board.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Finally, when negotiating these provisions, the Company should consider whether to require that the tenure on the board of the activist’s nominees be tied to the activist investor maintaining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share ownership in the Company. If the Company is successful in securing the inclusion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equity interest provision in the settlement agreement,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option for the Company to consider is whether falling below the agreed minimum interest should result in the loss of all board seats or whether to apply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interest to each particular board seat instead. If this provision is included, each director nominated by the activist investor should, concurrently with his or her appointment to the board, deliver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irrevocable resignation as director in the form attached to the settlement agreement that becomes effective upon the activist’s ownership interest in the Company falling below the agreed minimum.</w:t>
      </w:r>
    </w:p>
    <w:p>
      <w:pPr>
        <w:keepNext w:val="0"/>
        <w:spacing w:before="120" w:after="0" w:line="260" w:lineRule="exact"/>
        <w:ind w:left="360" w:right="0" w:firstLine="0"/>
        <w:jc w:val="left"/>
      </w:pPr>
      <w:r>
        <w:rPr>
          <w:rFonts w:ascii="Times New Roman" w:hAnsi="Times New Roman" w:eastAsia="Times New Roman" w:cs="Times New Roman"/>
          <w:b/>
          <w:sz w:val="24"/>
        </w:rPr>
        <w:t>Conflict of Interest Issues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should also be vigilant about any potential conflict of interest issues regarding the activist investor’s proposed directors. Depending on how close the relationship is between the proposed director and the activist investor, the Company may be concerned that the director may not act in the best interests of the Company and all its shareholders, but rather in the best interests of the activist investor. Similarly, the Company should be concerned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 may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to direct or exert undue influence on the director through compensation or other arrangements.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close relationship between the director and the activist investor also raises concerns about insider trading and the protection of any confidential information about the Company that is disclosed to the board. All of these issues are particularly acute when the activist investor proposes to appoint its principal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key employee to the Company’s board.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should be prepared to insist that the settlement agreement resolve these issues to its satisfaction. Settlement agreements typically address these concerns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requirement that the proposed director comply with the company’s and/or board’s policies, including its policies on confidentiality, conflicts of interests and ethics, including its code of business ethics. Another option is the inclusion of specific provisions prohibiting the activist investor’s directors from receiving any third party compensation in respect of their board service. In the event the principal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key employee of the activist investor is to serve as director, the Company can also negotiate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requirement that adequate protocols are established, such as ethical walls, to ensure that any non-public information he or she receives in their capacity as directors is not shared with, or traded on by, other parties at the activist investor’s organization. Although less common, companies are also sometimes successful in negotiating provisions calling for the resignation of the activist investor’s proposed directors in the event they breach the conflict of interest provisions.</w:t>
      </w:r>
    </w:p>
    <w:p>
      <w:pPr>
        <w:keepNext w:val="0"/>
        <w:spacing w:before="120" w:after="0" w:line="260" w:lineRule="exact"/>
        <w:ind w:left="360" w:right="0" w:firstLine="0"/>
        <w:jc w:val="left"/>
      </w:pPr>
      <w:r>
        <w:rPr>
          <w:rFonts w:ascii="Times New Roman" w:hAnsi="Times New Roman" w:eastAsia="Times New Roman" w:cs="Times New Roman"/>
          <w:b/>
          <w:sz w:val="24"/>
        </w:rPr>
        <w:t>Regulatory and Listing Issues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must also guard against the possibility that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investor’s proposed directors impairs the director independence or other requirements applicable to it under the listing standards of the securities exchange in which the Company’s securities are traded. This is often accomplished by setting forth in the settlement agreement the specific provisions of the listing standards of the applicable securities exchange that the proposed directors are expected to comply with, and requiring that the individuals nominated by the activist investor to serve as directors will satisfy these independence requirements.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should also confirm that no potential regulatory issues will be posed by the appointment of the proposed directors. For example, regulatory issues would arise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is affiliated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competitor of the Company.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the Company should negotiate for the inclusion in the settlement agreement of provisions that require the proposed directors to provide to the Company the information set forth in its standard director questionnaires or that is otherwise responsive to any disclosure requirements applicable to the Company, such as the SEC’s disclosure requirements regarding director independence, including Item 401 of Regulation S-K, and related party transactions, including Item 404 of Regulation S-K.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connection with the negotiation of the settlement agreement, the Company may also coordinate with the activist investor regarding any potential Section 16 filings triggered by the execution of the settlement agreement, as well as how the parties will ensure any future Section 16 filings are timely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option to address these concerns is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requirement in the settlement agreement that the proposed directors comply with the Company’s Section 16 compliance program.</w:t>
      </w:r>
    </w:p>
    <w:p>
      <w:pPr>
        <w:keepNext w:val="0"/>
        <w:spacing w:before="120" w:after="0" w:line="260" w:lineRule="exact"/>
        <w:ind w:left="360" w:right="0" w:firstLine="0"/>
        <w:jc w:val="left"/>
      </w:pPr>
      <w:r>
        <w:rPr>
          <w:rFonts w:ascii="Times New Roman" w:hAnsi="Times New Roman" w:eastAsia="Times New Roman" w:cs="Times New Roman"/>
          <w:b/>
          <w:sz w:val="24"/>
        </w:rPr>
        <w:t>Other Common Terms of Settlement Agreements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addition to the provisions discussed above, which are intended to address issues relating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investor’s choice of directors, settlement agreements often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other terms, the most common of which are discussed below. It is important to note that the parties’ ultimate success in negotiating these provisions will often depend on their relative leverage, which in turn is dependent on, among other things, whether the activist campaign is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or advanced stage and what is considered to be “market” for these provisions.</w:t>
      </w:r>
    </w:p>
    <w:p>
      <w:pPr>
        <w:keepNext w:val="0"/>
        <w:spacing w:before="120" w:after="0" w:line="260" w:lineRule="exact"/>
        <w:ind w:left="360" w:right="0" w:firstLine="0"/>
        <w:jc w:val="left"/>
      </w:pPr>
      <w:r>
        <w:rPr>
          <w:rFonts w:ascii="Times New Roman" w:hAnsi="Times New Roman" w:eastAsia="Times New Roman" w:cs="Times New Roman"/>
          <w:b/>
          <w:sz w:val="24"/>
        </w:rPr>
        <w:t>Strategic Changes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When activist investors try to effect major changes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they do so in order to generate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for themselves and their investors. The types of changes in companies that activist investors pursue depend on whether they are seeking to generate that return over the short, medium or long term. They also generally fall in one of two categories: changes to the underlying operations of the company (e.g. encouraging or opposing strategic transactions, such as acquisitions and dispositions, and changes in management or corporate governance policies) and return of capital to shareholders (e.g. pressuring the company to return cash through dividends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repurchase program). It shouldn’t be surprising that activist investors typically insist in the inclusion of specific provisions in the settlement agreement intended to address the specific strategic changes they are seeking from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Negotiation of these provisions tends to be highly fact-specific to the campaign being waged by the activist investor, and one can point to examples for most of the changes that activist investors typically campaign for. For example, to address changes to the underlying operations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the settlement agreement can provide for the establishment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strategic review committee of the board, which will include at least one of the activist’s nominees, and to provide for the return of capital,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agreement can require the implementation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repurchase program of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amount.</w:t>
      </w:r>
    </w:p>
    <w:p>
      <w:pPr>
        <w:keepNext w:val="0"/>
        <w:spacing w:before="120" w:after="0" w:line="260" w:lineRule="exact"/>
        <w:ind w:left="360" w:right="0" w:firstLine="0"/>
        <w:jc w:val="left"/>
      </w:pPr>
      <w:r>
        <w:rPr>
          <w:rFonts w:ascii="Times New Roman" w:hAnsi="Times New Roman" w:eastAsia="Times New Roman" w:cs="Times New Roman"/>
          <w:b/>
          <w:sz w:val="24"/>
        </w:rPr>
        <w:t>Standstill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One of the most important provisions of any settlement agreement is the standstill, which prohibits the activist investor from taking certain actions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period.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very real sense, this provision constitutes the heart of the benefit of the bargain for the company, and thus the company typically insists on the inclusion of broad standstill provisions. Some of the activities commonly prohibited by standstill provisions are (i) the solicitation or participation in the solicitation by third parties of proxies or written consents of shareholders; (ii) encouraging, advising or influencing others regarding the giving or withholding of any proxy or written consent; (iii) seeking or encouraging the nomination of directors in opposition to the company’s board or seeking additional board representation; (iv) the submission of shareholder proposals; (v) granting any proxy or written consent regarding the activist investor’s shares, or otherwise subjecting them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agreement; (vi) requesting inspection of the company’s books and records or demanding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list; (vii) initiating or assisting in legal proceedings against the company or its former directors or officers; (viii) the transfer by the activist investor of the company’s shares (subject to limited exceptions); (ix) seeking or encouraging strategic transactions involving the company; (x) calling special meetings; (xi) participating in any effort to control or influence the company’s management and (xii) forming or joining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engaging in the other actions prohibited by the standstill provision.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addition, standstill provisions can also contain agreements regarding non-disparagement and maximum share ownership, although the former is also often included in settlement agreements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standalone provision. Typically, non-disparagement clauses are mutual and prevent the making of any statement or announcement that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 hominem</w:t>
      </w:r>
      <w:r>
        <w:rPr>
          <w:rFonts w:ascii="Times New Roman" w:hAnsi="Times New Roman" w:eastAsia="Times New Roman" w:cs="Times New Roman"/>
          <w:b w:val="0"/>
          <w:sz w:val="24"/>
        </w:rPr>
        <w:t xml:space="preserve"> attack or that disparages or is reasonably likely to damage the reputation of the company or the activist investor or their respective representatives, including directors, officers and employees.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maximum share ownership provision usually prohibits the activist investor or its affiliates from acquiring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percentage of the company’s outstanding stock. When negotiating maximum share ownership provisions, the Company should keep in mind that the range of percentages varies considerably among settlement agreements, depending on the size of the company and the ownership stake already held by the activist investor. In addition, if the activist investor requests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 permitting it to acquire certain derivative securities of the Company, the Company should consider the amount of influence the activist investor can secure by acquiring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position in those derivative securities.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is no uniform approach regarding the duration of standstill provisions, but generally activist investors try to limit their duration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defined one- or two-year period, whereas companies will try to tie their duration to the period that the activist investor’s proposed directors 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board under the terms of the settlement agreement. Regardless of which approach is followed, the standstill period typically ends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time (usually 30 to 60 days) prior to the deadline for providing advance notice of the nomination of directors at the company’s then next upcoming annual meeting in accordance with the company’s organizational documents, thereby giving the activist investor sufficient time to nominate individuals for election to the Company’s board at that meeting. However, the standstill period is typically automatically extended if the company and the activist investor agree that the activist’s nominees will be included in the company’s slate of director nominees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shareholders meeting.</w:t>
      </w:r>
    </w:p>
    <w:p>
      <w:pPr>
        <w:keepNext w:val="0"/>
        <w:spacing w:before="120" w:after="0" w:line="260" w:lineRule="exact"/>
        <w:ind w:left="360" w:right="0" w:firstLine="0"/>
        <w:jc w:val="left"/>
      </w:pPr>
      <w:r>
        <w:rPr>
          <w:rFonts w:ascii="Times New Roman" w:hAnsi="Times New Roman" w:eastAsia="Times New Roman" w:cs="Times New Roman"/>
          <w:b/>
          <w:sz w:val="24"/>
        </w:rPr>
        <w:t>Voting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Companies often successfully negotiate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affirmative covenant relating to the voting of the activist investor’s shares in the company during the standstill period. The scope of the voting obligations can vary, but they usually require the activist investor to ensure that its shares will be present for purposes of determining quorum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meeting and that they will be voted in favor of the election of the company’s slate of directors (which will include the activist investor’s proposed directors). Sometimes, these provisions will require the voting of the activist investor’s shares in accordance with the board’s recommendation with respect to any shareholder proposal or other business presented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meeting.</w:t>
      </w:r>
    </w:p>
    <w:p>
      <w:pPr>
        <w:keepNext w:val="0"/>
        <w:spacing w:before="120" w:after="0" w:line="260" w:lineRule="exact"/>
        <w:ind w:left="360" w:right="0" w:firstLine="0"/>
        <w:jc w:val="left"/>
      </w:pPr>
      <w:r>
        <w:rPr>
          <w:rFonts w:ascii="Times New Roman" w:hAnsi="Times New Roman" w:eastAsia="Times New Roman" w:cs="Times New Roman"/>
          <w:b/>
          <w:sz w:val="24"/>
        </w:rPr>
        <w:t>Enforceability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Settlement agreements can vary greatly in their approach with respect to enforceability and penalties for breaches. Often,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of certain key provisions, such as the standstill and director qualifications provisions, in the case of the activist investor, or the director nomination provisions, in the case of the company, excuse the performance by the other party of its obligations under the agreement. Less frequently, settlement agreements provide for short cure periods following written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 agreement. In addition, as discussed above, when companies negotiate the inclusion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share ownership provision, it is customary for the activist’s directors to execute, on the date they are appointed to the board,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resignation from the board that becomes effective upon the activist’s ownership interest in the Company falling below the agreed minimum level.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Lastly, the overwhelming majority of settlement agreements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performance provision permitting the parties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to cure breaches and specifically enforce the agreement, in addition to any other remedies the parties have.</w:t>
      </w:r>
    </w:p>
    <w:p>
      <w:pPr>
        <w:keepNext w:val="0"/>
        <w:spacing w:before="120" w:after="0" w:line="260" w:lineRule="exact"/>
        <w:ind w:left="360" w:right="0" w:firstLine="0"/>
        <w:jc w:val="left"/>
      </w:pPr>
      <w:r>
        <w:rPr>
          <w:rFonts w:ascii="Times New Roman" w:hAnsi="Times New Roman" w:eastAsia="Times New Roman" w:cs="Times New Roman"/>
          <w:b/>
          <w:sz w:val="24"/>
        </w:rPr>
        <w:t>Expense Reimbursement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Depending on how far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activist campaign has proceeded, it is possible that the activist investor will ask to be reimbursed for its fees and expenses. However, expense reimbursement provisions are still not widely used, though they appear to be becoming more common.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Company decides to agree to the inclusion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reimbursement provision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agreement, it should consider the appropriate scope of the provision, as well as the inclusion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 The Company should expect that the activist investor will seek to have all of its expenses relating to the activist campaign reimbursed, which, depending on the stage of the activist campaign, may include seeking reimbursement in respect of its communications with the Company, the preparation of its SEC filings and other soliciting materials, the negotiation of the settlement agreement and, if applicable, litigation expenses incurred in challenging certain actions taken by the Company, such as the adoption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rights plan. In addition to capping the reimbursable expenses, the Company should require that they be reasonable, documented and limited to out-of-pocket expenses.</w:t>
      </w:r>
    </w:p>
    <w:p>
      <w:pPr>
        <w:keepNext w:val="0"/>
        <w:spacing w:before="200" w:after="0" w:line="260" w:lineRule="exact"/>
        <w:ind w:left="360" w:right="0" w:firstLine="0"/>
        <w:jc w:val="center"/>
      </w:pP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We look forward to discussing these matters at your convenience. Please do not hesitate to contact any of us if you have any questions or comments regarding this memorandum.</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60" w:after="0" w:line="260" w:lineRule="exact"/>
        <w:ind w:left="360" w:right="0" w:firstLine="0"/>
        <w:jc w:val="both"/>
      </w:pPr>
      <w:r>
        <w:rPr>
          <w:rFonts w:ascii="Times New Roman" w:hAnsi="Times New Roman" w:eastAsia="Times New Roman" w:cs="Times New Roman"/>
          <w:b w:val="0"/>
          <w:sz w:val="24"/>
        </w:rPr>
        <w:t>[PHONE NUMBER]</w:t>
      </w:r>
    </w:p>
    <w:p>
      <w:pPr>
        <w:keepNext w:val="0"/>
        <w:spacing w:before="60" w:after="0" w:line="260" w:lineRule="exact"/>
        <w:ind w:left="360" w:right="0" w:firstLine="0"/>
        <w:jc w:val="both"/>
      </w:pPr>
      <w:r>
        <w:rPr>
          <w:rFonts w:ascii="Times New Roman" w:hAnsi="Times New Roman" w:eastAsia="Times New Roman" w:cs="Times New Roman"/>
          <w:b w:val="0"/>
          <w:sz w:val="24"/>
        </w:rPr>
        <w:t>[EMAIL ADDRESS]</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60" w:after="0" w:line="260" w:lineRule="exact"/>
        <w:ind w:left="360" w:right="0" w:firstLine="0"/>
        <w:jc w:val="both"/>
      </w:pPr>
      <w:r>
        <w:rPr>
          <w:rFonts w:ascii="Times New Roman" w:hAnsi="Times New Roman" w:eastAsia="Times New Roman" w:cs="Times New Roman"/>
          <w:b w:val="0"/>
          <w:sz w:val="24"/>
        </w:rPr>
        <w:t>[PHONE NUMBER]</w:t>
      </w:r>
    </w:p>
    <w:p>
      <w:pPr>
        <w:keepNext w:val="0"/>
        <w:spacing w:before="60" w:after="0" w:line="260" w:lineRule="exact"/>
        <w:ind w:left="360" w:right="0" w:firstLine="0"/>
        <w:jc w:val="both"/>
      </w:pPr>
      <w:r>
        <w:rPr>
          <w:rFonts w:ascii="Times New Roman" w:hAnsi="Times New Roman" w:eastAsia="Times New Roman" w:cs="Times New Roman"/>
          <w:b w:val="0"/>
          <w:sz w:val="24"/>
        </w:rPr>
        <w:t>[EMAIL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