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Memorandum to Board of Directors on Nomination of Directors by </w:t>
      </w:r>
      <w:r>
        <w:rPr>
          <w:rFonts w:ascii="Times New Roman" w:hAnsi="Times New Roman" w:eastAsia="Times New Roman" w:cs="Times New Roman"/>
          <w:b/>
          <w:sz w:val="24"/>
        </w:rPr>
        <w:t>an</w:t>
      </w:r>
      <w:r>
        <w:rPr>
          <w:rFonts w:ascii="Times New Roman" w:hAnsi="Times New Roman" w:eastAsia="Times New Roman" w:cs="Times New Roman"/>
          <w:b/>
          <w:sz w:val="24"/>
        </w:rPr>
        <w:t xml:space="preserve"> Activist Investor</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center"/>
      </w:pPr>
      <w:r>
        <w:rPr>
          <w:rFonts w:ascii="Times New Roman" w:hAnsi="Times New Roman" w:eastAsia="Times New Roman" w:cs="Times New Roman"/>
          <w:b w:val="0"/>
          <w:sz w:val="24"/>
        </w:rPr>
        <w:t>[COMPANY NAME]</w:t>
      </w:r>
    </w:p>
    <w:p>
      <w:pPr>
        <w:keepNext w:val="0"/>
        <w:spacing w:before="200" w:after="0" w:line="260" w:lineRule="exact"/>
        <w:ind w:left="360" w:right="0" w:firstLine="0"/>
        <w:jc w:val="both"/>
      </w:pPr>
      <w:r>
        <w:rPr>
          <w:rFonts w:ascii="Times New Roman" w:hAnsi="Times New Roman" w:eastAsia="Times New Roman" w:cs="Times New Roman"/>
          <w:b/>
          <w:sz w:val="24"/>
        </w:rPr>
        <w:t>To: THE BOARD OF DIRECTORS AND SENIOR MANAGEMENT OF [COMPANY] (THE "COMPANY")</w:t>
      </w:r>
    </w:p>
    <w:p>
      <w:pPr>
        <w:keepNext w:val="0"/>
        <w:spacing w:before="200" w:after="0" w:line="260" w:lineRule="exact"/>
        <w:ind w:left="360" w:right="0" w:firstLine="0"/>
        <w:jc w:val="both"/>
      </w:pPr>
      <w:r>
        <w:rPr>
          <w:rFonts w:ascii="Times New Roman" w:hAnsi="Times New Roman" w:eastAsia="Times New Roman" w:cs="Times New Roman"/>
          <w:b/>
          <w:sz w:val="24"/>
        </w:rPr>
        <w:t>From: [IN-HOUSE COUNSEL/OUTSIDE COUNSEL]</w:t>
      </w:r>
    </w:p>
    <w:p>
      <w:pPr>
        <w:keepNext w:val="0"/>
        <w:spacing w:before="200" w:after="0" w:line="260" w:lineRule="exact"/>
        <w:ind w:left="360" w:right="0" w:firstLine="0"/>
        <w:jc w:val="both"/>
      </w:pPr>
      <w:r>
        <w:rPr>
          <w:rFonts w:ascii="Times New Roman" w:hAnsi="Times New Roman" w:eastAsia="Times New Roman" w:cs="Times New Roman"/>
          <w:b/>
          <w:sz w:val="24"/>
        </w:rPr>
        <w:t>Date: [● 2021]</w:t>
      </w:r>
    </w:p>
    <w:p>
      <w:pPr>
        <w:keepNext w:val="0"/>
        <w:spacing w:before="200" w:after="0" w:line="260" w:lineRule="exact"/>
        <w:ind w:left="360" w:right="0" w:firstLine="0"/>
        <w:jc w:val="both"/>
      </w:pPr>
      <w:r>
        <w:rPr>
          <w:rFonts w:ascii="Times New Roman" w:hAnsi="Times New Roman" w:eastAsia="Times New Roman" w:cs="Times New Roman"/>
          <w:b/>
          <w:sz w:val="24"/>
        </w:rPr>
        <w:t xml:space="preserve">Re: Nomination of Directors by </w:t>
      </w:r>
      <w:r>
        <w:rPr>
          <w:rFonts w:ascii="Times New Roman" w:hAnsi="Times New Roman" w:eastAsia="Times New Roman" w:cs="Times New Roman"/>
          <w:b/>
          <w:sz w:val="24"/>
        </w:rPr>
        <w:t>an</w:t>
      </w:r>
      <w:r>
        <w:rPr>
          <w:rFonts w:ascii="Times New Roman" w:hAnsi="Times New Roman" w:eastAsia="Times New Roman" w:cs="Times New Roman"/>
          <w:b/>
          <w:sz w:val="24"/>
        </w:rPr>
        <w:t xml:space="preserve"> Activist Investor</w:t>
      </w:r>
    </w:p>
    <w:p>
      <w:pPr>
        <w:keepNext w:val="0"/>
        <w:spacing w:before="120" w:after="0" w:line="260" w:lineRule="exact"/>
        <w:ind w:left="360" w:right="0" w:firstLine="0"/>
        <w:jc w:val="left"/>
      </w:pPr>
      <w:r>
        <w:rPr>
          <w:rFonts w:ascii="Times New Roman" w:hAnsi="Times New Roman" w:eastAsia="Times New Roman" w:cs="Times New Roman"/>
          <w:b/>
          <w:sz w:val="24"/>
        </w:rPr>
        <w:t>Introduction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One of the most notable aspects of campaigns by activist investors targeting publicly traded companies over the last several years has been the overall success they have had in gaining one or more seats on the boards of target companies. Despite the almost 26% decrease in the number of activist investor campaigns in 2020, demands for board representation still accounted for the largest portion of activist investor demands made in the United States, and the number of board seats won at contested meetings in the United States was at the highest level in over five years.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While the COVID-19 pandemic slowed down activism globally in 2020, by the fourth quarter of 2020 there were signs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potential rebound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200% increase in the number of campaigns for companies with market capitalizations greater than $500 million as compared to the third quarter, according to Lazard's "2020 Review of Shareholder Activism".</w:t>
      </w:r>
    </w:p>
    <w:p>
      <w:pPr>
        <w:keepNext w:val="0"/>
        <w:spacing w:before="200" w:after="0" w:line="260" w:lineRule="exact"/>
        <w:ind w:left="720" w:right="0" w:firstLine="0"/>
        <w:jc w:val="center"/>
      </w:pPr>
      <w:r>
        <w:rPr>
          <w:rFonts w:ascii="Times New Roman" w:hAnsi="Times New Roman" w:eastAsia="Times New Roman" w:cs="Times New Roman"/>
          <w:b w:val="0"/>
          <w:sz w:val="24"/>
        </w:rPr>
        <w:t>* * * *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We understand that negotiations between the Company and [Activist Investor Name] (the "Activist Investor") have been unsuccessful, and that the Company is now facing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proxy contest in respect of the Activist Investor's nomination of [two] directors for election to the Company's board. This memorandum discusses: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typical process by which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activist investor nominates directors.</w:t>
      </w:r>
    </w:p>
    <w:p>
      <w:pPr>
        <w:keepNext w:val="0"/>
        <w:spacing w:before="200" w:after="0" w:line="260" w:lineRule="exact"/>
        <w:ind w:left="1080" w:right="0" w:firstLine="0"/>
        <w:jc w:val="both"/>
      </w:pPr>
      <w:r>
        <w:rPr>
          <w:rFonts w:ascii="Times New Roman" w:hAnsi="Times New Roman" w:eastAsia="Times New Roman" w:cs="Times New Roman"/>
          <w:b w:val="0"/>
          <w:sz w:val="24"/>
        </w:rPr>
        <w:t>• The regulatory framework applicable to proxy contests.</w:t>
      </w:r>
    </w:p>
    <w:p>
      <w:pPr>
        <w:keepNext w:val="0"/>
        <w:spacing w:before="200" w:after="0" w:line="260" w:lineRule="exact"/>
        <w:ind w:left="1080" w:right="0" w:firstLine="0"/>
        <w:jc w:val="both"/>
      </w:pPr>
      <w:r>
        <w:rPr>
          <w:rFonts w:ascii="Times New Roman" w:hAnsi="Times New Roman" w:eastAsia="Times New Roman" w:cs="Times New Roman"/>
          <w:b w:val="0"/>
          <w:sz w:val="24"/>
        </w:rPr>
        <w:t>• Potential strategies available to the Company in the proxy contest.</w:t>
      </w:r>
    </w:p>
    <w:p>
      <w:pPr>
        <w:keepNext w:val="0"/>
        <w:spacing w:before="120" w:after="0" w:line="260" w:lineRule="exact"/>
        <w:ind w:left="360" w:right="0" w:firstLine="0"/>
        <w:jc w:val="left"/>
      </w:pPr>
      <w:r>
        <w:rPr>
          <w:rFonts w:ascii="Times New Roman" w:hAnsi="Times New Roman" w:eastAsia="Times New Roman" w:cs="Times New Roman"/>
          <w:b/>
          <w:sz w:val="24"/>
        </w:rPr>
        <w:t>Typical Director Nomination Process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first step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activist investor typically takes before engaging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activist campaign is to acquire shares in the target company.</w:t>
      </w:r>
    </w:p>
    <w:p>
      <w:pPr>
        <w:keepNext w:val="0"/>
        <w:spacing w:before="200" w:after="0" w:line="260" w:lineRule="exact"/>
        <w:ind w:left="720" w:right="0" w:firstLine="0"/>
        <w:jc w:val="both"/>
      </w:pP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important factor for the activist to consider in acquiring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company's shares is whether its acquisition will require any regulatory filings. If the activist acquires beneficial ownership of more than 5%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company's voting shares, it will be required to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Schedule 13D within 10 days of the purchase that resulted in the investor exceeding that threshold and, once filed, the activist must then promptly update its filing to reflect any material change in the facts disclosed, including its subsequent acquisitions and dispositions of more than 1% of the company's voting shares.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Similarly, if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activist investor wants to acquire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number of voting shares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market value that exceeds the transaction threshold under the Hart-Scott-Rodino Antitrust Improvements Act of 1976 (the "HSR Act"), which is $92 million for 2021, it will have to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notification of its proposed acquisition with the Department of Justice (the "DOJ") and the Federal Trade Commission (the "FTC") and wait for the expiration or termination of the applicable waiting period under the HSR Act before it can exceed that threshold.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activist may also have to contend with Form 13F reporting requirements, which can act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early warning signal for companies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activist's position. If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activist holds U.S. publicly traded equity securities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aggregate value of $100 million or more, it is required to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13F detailing the market value and number of shares it holds for various companies, although activists often seek temporary confidential treatment regarding specific holdings if disclosure would harm their competitive position. On July 10, 2020, the Securities and Exchange Commission (the "SEC") proposed raising the threshold from $100 million to $3.5 billion, which according to the SEC would eliminate Form 13F filing requirements for nearly 90% of filers. There, however, was significant opposition to this proposal with over 2,000 comment letters opposing the change, compared to fewer than 30 in support, and it appears to have been shelved by the SEC late last year.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It is very possible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activist investor will acquire at least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its ownership stake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 by first acquiring derivative securities. Using derivative securities to accumulate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ownership interest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 can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number of benefits for the activist investor, including allowing it to acquire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significant position in that company without committing as many financial resources as it would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 acquisition of shares, and to avoid disclosure of its notional ownership stake; under current rules, certain derivative securities, such as cash-settled equity swaps, generally do not confer beneficial ownership of the underlying securities on the owner,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which filings on Schedule 13D or under the HSR Act (which are triggered only by acquisitions of voting securities) are not required.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Once the activist investor has acquired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ownership stake in the target company, it will generally continue to analyze the target company and its shareholder base, refine its message regarding the changes in the target company it seeks and develop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strategy for approaching the target company and certain of its shareholders until it is ready to commence its public campaign. Activist investors typically spend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significant amount of time preparing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campaign prior to commencing it, and they will rarely initiate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proxy contest or propose to nominate directors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company's board without having first communicated their reasons for doing so to the company and certain of its key shareholders, and without having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sense that their platform is likely to attract shareholder support. These efforts often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"white paper" or slide deck, which articulates the investor's view of what's wrong with the company, how that can be fixed, and how the investor is the right person, or can propose the right people, to fix it.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You have told us that the Activist Investor has notified you of its intent to propose [two] directors for election to the Company's board at its next annual shareholders' meeting. If that happens, the Company should confirm that the Activist Investor has complied with the specific steps and requirements that must be followed to nominate directors, which are set forth in the Company's bylaws. These requirements include that directors be nominated within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window of time ahead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meeting and that specific information be provided regarding the Activist Investor, its security holdings and its director nominees. The Activist Investor's failure to comply with these provisions would permit the Company to disregard the proposed nomination.</w:t>
      </w:r>
    </w:p>
    <w:p>
      <w:pPr>
        <w:keepNext w:val="0"/>
        <w:spacing w:before="200" w:after="0" w:line="260" w:lineRule="exact"/>
        <w:ind w:left="720" w:right="0" w:firstLine="0"/>
        <w:jc w:val="both"/>
      </w:pPr>
      <w:r>
        <w:rPr>
          <w:rFonts w:ascii="Times New Roman" w:hAnsi="Times New Roman" w:eastAsia="Times New Roman" w:cs="Times New Roman"/>
          <w:b w:val="0"/>
          <w:sz w:val="24"/>
        </w:rPr>
        <w:t>Notwithstanding the typical process outlined above, it is important to note that activist investors do not conduct activist campaigns in any uniform way, as the tactics they employ are fact-specific and depend on the particular activist investor involved, the change it is pursuing and the characteristics of the company being targeted. It is also too early to know whether the widescale switch by companies in 2020 and 2021 to virtual shareholder meetings in the face of the COVID-19 pandemic will prevail and, if so, whether and how it may affect activist shareholder campaigns.</w:t>
      </w:r>
    </w:p>
    <w:p>
      <w:pPr>
        <w:keepNext w:val="0"/>
        <w:spacing w:before="120" w:after="0" w:line="260" w:lineRule="exact"/>
        <w:ind w:left="360" w:right="0" w:firstLine="0"/>
        <w:jc w:val="left"/>
      </w:pPr>
      <w:r>
        <w:rPr>
          <w:rFonts w:ascii="Times New Roman" w:hAnsi="Times New Roman" w:eastAsia="Times New Roman" w:cs="Times New Roman"/>
          <w:b/>
          <w:sz w:val="24"/>
        </w:rPr>
        <w:t>Regulatory Framework Applicable to Proxy Contests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proxy contest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contest to solicit proxies or consents from shareholders in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vote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meeting or, much less commonly, through action by written consent. When activist investors wage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proxy contest, they do so to place themselves in the best position to effect change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view of achieving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favorable financial return for themselves and their investors.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solicitation of proxies is governed by Section 14 of the Securities Exchange Act of 1934, as amended, and Regulation 14A promulgated thereunder. In addition,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number of state law provisions, including those governing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shareholder's right to obtain the company's shareholder list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example of this right, see Section 220 of the Delaware General Corporation Law) or which proxy card governs when two or more proxy cards are submitted at the same meeting, are also relevant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proxy contest.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detailed analysis of these provisions is beyond the scope of this memorandum, but it is crucial that the Company ensure that it takes these provisions into account in waging its proxy contest. We discuss below some of the principal provisions that would likely come into play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proxy contest relating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activist investor's nomination of directors for election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company's board.</w:t>
      </w:r>
    </w:p>
    <w:p>
      <w:pPr>
        <w:keepNext w:val="0"/>
        <w:spacing w:before="120" w:after="0" w:line="260" w:lineRule="exact"/>
        <w:ind w:left="360" w:right="0" w:firstLine="0"/>
        <w:jc w:val="left"/>
      </w:pPr>
      <w:r>
        <w:rPr>
          <w:rFonts w:ascii="Times New Roman" w:hAnsi="Times New Roman" w:eastAsia="Times New Roman" w:cs="Times New Roman"/>
          <w:b/>
          <w:sz w:val="24"/>
        </w:rPr>
        <w:t>Definition of "Solicitation" and Certain Exempt Communications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Under Rule 14a-1,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"solicitation" includes "(i) any request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proxy whether or not accompanied by or included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of proxy: (ii) any request to execute or not to execute, or to revoke,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proxy; or (iii) the furnishing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of proxy or other communication to security holders under circumstances reasonably calculated to result in the procurement, withholding or revocation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proxy." This definition has been broadly interpreted by the SEC and courts and, therefore,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large number of communications qualify as solicitations. Moreover, any written communication falling within this definition must be filed with the SEC on the date it is first published, sent or given to shareholders. Accordingly, the company should obtain counsel's view on whether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planned communication constitutes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"solicitation" and, if so, ensure that it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process in place to make the required filings.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However, Regulation 14A also contains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number of important exemptions that, despite their limited usefulness to the parties actually engaged in the proxy contest, can play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significant role in determining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proxy contest's outcome. For example, Rule 14a-1(l)(2)(iv) provides that the definition of "solicitation" does not apply to certain communications by security holders who "do not otherwise engage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proxy solicitation stating how the security holder intends to vote and the reasons therefor," which would cover, among other things,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press release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significant shareholder indicating how it intends to vote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upcoming contested election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example of this, see the press releases issued by the California Public Employees Retirement System and the Canadian Pension Plan Investment Board in the 2015 DuPont-Trian proxy contest, disclosing that they had voted all their shares in favor of DuPont's board nominees). Similarly, Rule 14a-2(b)(1) exempts from the proxy rules certain solicitations by certain persons who are not seeking the power to act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proxy, although it is important to note that, this exemption does not apply to persons that are required to report their ownership of the company's securities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Schedule 13D, and under Rule 14a-6, the person relying on this exemption that owns securities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market value of more than $5 million must file any written solicitation with the SEC within three days after the date such solicitation is first used, attaching copies of all written soliciting materials; thus,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that is not engaged in the proxy contest can rely on Rule 14a-2(b)(1) to lobby (orally or in writing) other shareholders to join it in supporting one of the parties engaged in the proxy contest.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In addition, Rule 14a-2(b)(2) permits any solicitation made by anyone other than the company "where the total number of persons solicited is not more than ten." This exemption, known as the "Rule of Ten," can be particularly helpful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proxy contest when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small number of shareholders with large ownership stakes. Finally, Rule 14a-2(b)(6) also seeks to promote investor-to-investor communications by permitting solicitations in electronic shareholder forums, so long as the soliciting person does not seek, directly or indirectly, the power to act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proxy and the solicitations occur more than 60 days prior to the date announced for the applicable shareholders meeting. Unlike in the case of solicitations exempt under Rule 14a-2(b)(1), persons relying on this exemption are allowed to "test the waters," and later solicit proxies within the 60 day window so long as those later solicitations are conducted in compliance with the proxy rules. However, although use of electronic shareholder forums is increasing, they have not yet been widely established by companies or their shareholders.</w:t>
      </w:r>
    </w:p>
    <w:p>
      <w:pPr>
        <w:keepNext w:val="0"/>
        <w:spacing w:before="120" w:after="0" w:line="260" w:lineRule="exact"/>
        <w:ind w:left="360" w:right="0" w:firstLine="0"/>
        <w:jc w:val="left"/>
      </w:pPr>
      <w:r>
        <w:rPr>
          <w:rFonts w:ascii="Times New Roman" w:hAnsi="Times New Roman" w:eastAsia="Times New Roman" w:cs="Times New Roman"/>
          <w:b/>
          <w:sz w:val="24"/>
        </w:rPr>
        <w:t>Proxy Statements and Proxy Cards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In connection with the solicitation of proxies, both the company and the activist investor must distribute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proxy statement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of proxy (or proxy card) to the company's shareholders. Pursuant to Rule 14a-3, the proxy statement must contain the information specified in Schedule 14A, while Rule 14a-4 sets for the requirements for the proxy card. In addition, although Rule 14a-6(</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does not require the filing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preliminary proxy statement or proxy card relating to the election of directors prior to their distribution to shareholders in uncontested elections,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proxy contest, both the company and the activist investor will be required to file their proxy statements with the SEC in preliminary form at least 10 days prior to the date definitive copies are distributed to shareholders.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Rule 14a-4 also sets forth certain provisions specifically applicable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proxy contest involving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activist investor's nomination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partial slate of directors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company's board. Rule 14a-4(d)(1), known as the "bona fide nominee" rule, for example, prohibits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proxy card from including any person who has not consented to be named in the related proxy statement and to serve if elected. Because the company's and the activist's nominees usually do not consent to being named in the other party's proxy statement and because state law does not permit shareholders to file two separate proxy cards with votes for both slates of nominees, the "bona fide nominee" rule prevents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voting by proxy from having the same options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that votes in person, who can typically cast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ballot that includes the names of directors duly nominated by both the company and the activist. Rule 14a-4(d)(4), known as the "short slate rule", mitigates this issue by permitting the activist investor to round out its slate with selected nominees from the company's proxy card without the company nominees' consent, if the activist investor follows specific requirements, such as giving the shareholder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place to withhold consent for certain company nominees. However, shareholders still cannot mix-and-match nominees unless they vote in person. This could change if the SEC adopts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proposed rule requiring the use of universal proxy cards in non-exempt director election contests. If universal proxy cards are used, both the company's and the activist investor's nominees for director would appear on the same proxy card, thereby permitting shareholders voting by proxy to select from all duly nominated director candidates, much in the same way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voting in person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shareholders meeting can do currently.</w:t>
      </w:r>
    </w:p>
    <w:p>
      <w:pPr>
        <w:keepNext w:val="0"/>
        <w:spacing w:before="120" w:after="0" w:line="260" w:lineRule="exact"/>
        <w:ind w:left="360" w:right="0" w:firstLine="0"/>
        <w:jc w:val="left"/>
      </w:pPr>
      <w:r>
        <w:rPr>
          <w:rFonts w:ascii="Times New Roman" w:hAnsi="Times New Roman" w:eastAsia="Times New Roman" w:cs="Times New Roman"/>
          <w:b/>
          <w:sz w:val="24"/>
        </w:rPr>
        <w:t>Strategies Available to Companies Engaged in Proxy Contests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success or failure of proxy contests depends on the facts of the particular campaign, and, most importantly, the ability of the contestants to communicate effectively with the company's shareholders during the proxy contest. Depending on the particular matters at issue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proxy contest, the company's financial performance (standalone and relative to its peers), the level of shareholder engagement between the company and its shareholders prior to commencement of the proxy contest, and the reputation and track record of the company, its board and management and of the activist and its director nominees are also critical to the outcome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proxy contest. We discuss below some of the positions companies typically take when waging proxy contests, at least some of which may also be available to the Company in engaging in its proxy contest with the Activist Investor.</w:t>
      </w:r>
    </w:p>
    <w:p>
      <w:pPr>
        <w:keepNext w:val="0"/>
        <w:spacing w:before="120" w:after="0" w:line="260" w:lineRule="exact"/>
        <w:ind w:left="360" w:right="0" w:firstLine="0"/>
        <w:jc w:val="left"/>
      </w:pPr>
      <w:r>
        <w:rPr>
          <w:rFonts w:ascii="Times New Roman" w:hAnsi="Times New Roman" w:eastAsia="Times New Roman" w:cs="Times New Roman"/>
          <w:b/>
          <w:sz w:val="24"/>
        </w:rPr>
        <w:t>Challenging the Activist Investor's Position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activist investor engages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proxy contest where it nominates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slate of directors to serve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company's board, it usually does so in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broader campaign to effect major changes in that company that have the goal of generating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return for itself and its investors. The types of changes that activist investors pursue depend on whether they are seeking to generate that return over the short, medium or long term. They also generally fall in one of two categories: changes to the underlying operations of the company (e.g., encouraging or opposing strategic transactions, such as acquisitions and dispositions, and changes in management or corporate governance policies), and return of capital to shareholders (e.g., pressuring the company to return cash to shareholders through dividends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repurchase program).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study conducted by the Wall Street Journal of 71 campaigns waged against companies with market capitalizations of more than $5 billion from 2009 to 2015 found that, while shareholder activism can often improve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company's results, almost as often it has no effect.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the Company decides to challenge the Activist Investor's position, it can do so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number of ways depending on the specific position being challenged. For example, the Company can highlight any blemishes in the Activist Investor's track record with respect to similar demands made by it (or other activist investors) in the past with respect to other companies, rely on the analysis of its management and outside advisors (e.g., investment bankers) to impugn the rationale underpinning the Activist Investor's position or, in the case of changes seeking to generate return over the short term, express its concerns with placing undue emphasis on short-term gains.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Arguments against short-termism may hold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sway with some institutional shareholders; BlackRock and Vanguard, for example, have publicly come out in favor of corporate strategies that focus on the long-term goals of the company, thereby creating value for all shareholders. In addition, it is unclear to what extent, if any, the August 2019 statement of the Business Roundtable regarding the purpose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and its commitment to all stakeholders, not just shareholders, will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lasting effect on the views of institutional shareholders, including Blackrock and Vanguard, who were two of the 181 signatories to the statement, and whether, if broadly adopted,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more expansive view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corporation's purpose could be used by both parties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contested election.</w:t>
      </w:r>
    </w:p>
    <w:p>
      <w:pPr>
        <w:keepNext w:val="0"/>
        <w:spacing w:before="200" w:after="0" w:line="260" w:lineRule="exact"/>
        <w:ind w:left="720" w:right="0" w:firstLine="0"/>
        <w:jc w:val="both"/>
      </w:pPr>
      <w:r>
        <w:rPr>
          <w:rFonts w:ascii="Times New Roman" w:hAnsi="Times New Roman" w:eastAsia="Times New Roman" w:cs="Times New Roman"/>
          <w:b w:val="0"/>
          <w:sz w:val="24"/>
        </w:rPr>
        <w:t>However, the Company should avoid basing its campaign solely on criticizing its opponent; instead it should also clearly articulate the Company's plan going forward, the reasons it believes its plan will result in the creation of superior shareholder value and the time frame over which it expects to create this value. In short, the Company should make sure it gives shareholders something to vote for and not just something to vote against. If the Company fails to do this, it risks being perceived as advocating for the status quo, which may lead dissatisfied investors to support the Activist Investor.</w:t>
      </w:r>
    </w:p>
    <w:p>
      <w:pPr>
        <w:keepNext w:val="0"/>
        <w:spacing w:before="120" w:after="0" w:line="260" w:lineRule="exact"/>
        <w:ind w:left="360" w:right="0" w:firstLine="0"/>
        <w:jc w:val="left"/>
      </w:pPr>
      <w:r>
        <w:rPr>
          <w:rFonts w:ascii="Times New Roman" w:hAnsi="Times New Roman" w:eastAsia="Times New Roman" w:cs="Times New Roman"/>
          <w:b/>
          <w:sz w:val="24"/>
        </w:rPr>
        <w:t>Issues with the Activist Investor's Choice of Directors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While activist shareholders,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general matter, seek to nominate qualified candidates, the Activist Investor's choice of directors may raise issues for the Company and its existing board. Accordingly, the Company should be prepared to clearly and swiftly communicate to its shareholders any concerns regarding the Activist Investor's director nominees.</w:t>
      </w:r>
    </w:p>
    <w:p>
      <w:pPr>
        <w:keepNext w:val="0"/>
        <w:spacing w:before="200" w:after="0" w:line="260" w:lineRule="exact"/>
        <w:ind w:left="720" w:right="0" w:firstLine="0"/>
        <w:jc w:val="both"/>
      </w:pPr>
      <w:r>
        <w:rPr>
          <w:rFonts w:ascii="Times New Roman" w:hAnsi="Times New Roman" w:eastAsia="Times New Roman" w:cs="Times New Roman"/>
          <w:b w:val="0"/>
          <w:sz w:val="24"/>
        </w:rPr>
        <w:t>The first potential issue the Company may have with the Activist Investor's director nominees relates to their qualifications to serve on the Company's board. This will require the Company to not just articulate any particular shortcomings of the Activist Investor's nominees, but also explain the criteria it uses when selecting its own directors and how the Company's own nominees compare with the Activist Investor's nominees relative to these criteria. For example, the Company's nominees may compare favorably to the Activist Investor's nominees in their understanding of the Company and its business and strategy, their experience in the Company's industry and their diversity. With respect to the last point, it is worth noting that activist investors infrequently nominate women and ethnically diverse candidates to serve on boards of directors, with women comprising only 24% and ethnically diverse candidates comprising only 11% of the activist-nominated directors globally for 2020 at companies with market capitalizations greater than $500 million.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vein, because the Activist Investor has proposed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short slate of nominees, the Company may be able to argue that it views the Company's full slate of nominees as having the ideal mix of skill sets necessary for the Company's board and highlight any skill sets or particular expertise that would be lost by replacing any of the Company's nominees with the Activist Investor's. The Company may also have legitimate concerns regarding whether the Activist Investor's directors can be successfully integrated with the Company's board, although the smaller the slate, the less persuasive this argument is likely to be.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Another potential issue with the Activist Investor's director nominees is the extent and nature of their relationship with the Activist Investor. If the nominees are principals or employees of the Activist Investor or serve as directors of other companies in which it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significant stake, the Company may be justifiably concerned that, if elected, the director may not always act in the best interests of the Company and all its shareholders, as directors are required to do, but rather in the best interests of the Activist Investor. Similarly, the Company may want to ensure that any confidential information relating to the Company that is disclosed to its directors is treated confidentially. In addition, the Company may be concerned that the Activist Investor may be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position to direct or exert undue influence on its directors through compensation or other arrangements benefiting the directors, or, depending on the type of compensation arrangement, that the directors' goals for the Company are likely to be more short-term than they might be absent this arrangement.</w:t>
      </w:r>
    </w:p>
    <w:p>
      <w:pPr>
        <w:keepNext w:val="0"/>
        <w:spacing w:before="200" w:after="0" w:line="260" w:lineRule="exact"/>
        <w:ind w:left="720" w:right="0" w:firstLine="0"/>
        <w:jc w:val="both"/>
      </w:pPr>
      <w:r>
        <w:rPr>
          <w:rFonts w:ascii="Times New Roman" w:hAnsi="Times New Roman" w:eastAsia="Times New Roman" w:cs="Times New Roman"/>
          <w:b w:val="0"/>
          <w:sz w:val="24"/>
        </w:rPr>
        <w:t>Relatedly, the Company should highlight any issues the Activist Investor's director nominees may pose with respect to the director independence and other requirements applicable to the Company under the listing standards of the securities exchange in which its securities are traded or set forth on the Company's organizational documents.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In this regard, the Company should consider whether it needs to amend or modify its policies on conflict of interests and ethics, including its code of business ethics. Potential changes to these policies could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prohibition on directors receiving third party compensation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requirement that any person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establish adequate protocols, such as "ethical walls," to ensure that any non-public information she receives in her capacity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is not shared with, or traded on by, other persons, including any co-employees. The Company may also consider instituting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Section 16 compliance program (if it does not already have one).</w:t>
      </w:r>
    </w:p>
    <w:p>
      <w:pPr>
        <w:keepNext w:val="0"/>
        <w:spacing w:before="200" w:after="0" w:line="260" w:lineRule="exact"/>
        <w:ind w:left="720" w:right="0" w:firstLine="0"/>
        <w:jc w:val="both"/>
      </w:pPr>
      <w:r>
        <w:rPr>
          <w:rFonts w:ascii="Times New Roman" w:hAnsi="Times New Roman" w:eastAsia="Times New Roman" w:cs="Times New Roman"/>
          <w:b w:val="0"/>
          <w:sz w:val="24"/>
        </w:rPr>
        <w:t>Prior to making any of these changes, however, the Company should ensure that all changes would be effected in compliance with the Company's organizational documents. In addition, the Company should carefully consider any potential impact that the implementation of such changes may have on the proxy contest, including how they are likely to be perceived by the Company's shareholders.</w:t>
      </w:r>
    </w:p>
    <w:p>
      <w:pPr>
        <w:keepNext w:val="0"/>
        <w:spacing w:before="120" w:after="0" w:line="260" w:lineRule="exact"/>
        <w:ind w:left="360" w:right="0" w:firstLine="0"/>
        <w:jc w:val="left"/>
      </w:pPr>
      <w:r>
        <w:rPr>
          <w:rFonts w:ascii="Times New Roman" w:hAnsi="Times New Roman" w:eastAsia="Times New Roman" w:cs="Times New Roman"/>
          <w:b/>
          <w:sz w:val="24"/>
        </w:rPr>
        <w:t>Engaging with Shareholders and Proxy Advisory Firms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Once the Company has crafted the message it wants to convey to shareholders during the proxy contest, it must then engage with the various parties that will influence the outcome of the vote, principally the Company's shareholders and the proxy advisory firms that advise them. Understanding how best to engage with these parties is critical, as this engagement can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significant impact on whether they will decide to support the Company or the Activist Investor.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Reaching out to as many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Company's shareholders as possible is important, but, in light of the overwhelmingly high number of the Company's shares that are likely held by institutional shareholders, reaching out to the Company's largest institutional investors is critical. Prior to engaging with its institutional investors, the Company should seek to understand their internal decision-making process with respect to proxy contests, as well as their particular issues and concerns with the Company, so that it can appropriately tailor its message to them – ideally, the Company is already familiar with these processes and concerns and will not be starting from scratch in this regard when actually fighting the proxy contest.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Having engaged with its investors, the Company should make sure that it </w:t>
      </w:r>
      <w:r>
        <w:rPr>
          <w:rFonts w:ascii="Times New Roman" w:hAnsi="Times New Roman" w:eastAsia="Times New Roman" w:cs="Times New Roman"/>
          <w:b w:val="0"/>
          <w:sz w:val="24"/>
        </w:rPr>
        <w:t>listens</w:t>
      </w:r>
      <w:r>
        <w:rPr>
          <w:rFonts w:ascii="Times New Roman" w:hAnsi="Times New Roman" w:eastAsia="Times New Roman" w:cs="Times New Roman"/>
          <w:b w:val="0"/>
          <w:sz w:val="24"/>
        </w:rPr>
        <w:t xml:space="preserve"> to their responses, and is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position to quickly recalibrate its message to shareholders in response to what it hears from its principal shareholders. Notwithstanding the importance of engaging with large institutional investors, this engagement should not come at the expense of disregarding retail investors, who typically tend to support the Company in proxy contests. When engaging with retail investors and other shareholders, the Company should use all avenues of communication available to it, including social media; in that regard, the Company should ensure that if it does use social media to communicate with its shareholders during the proxy contest, it can do so in full compliance with the proxy rules, including the same day filing deadline for solicitation materials, and if the communications are being made before shareholders are furnished with the Company's definitive proxy statement, the legending requirements of Rule 14a-12.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Similarly, the Company should engage with proxy advisory firms, most importantly, ISS and Glass Lewis &amp; Co., as institutional investors are likely to give weight to their recommendations on the proxy contest. ISS, for example, will typically grant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request to meet with participants in the proxy contest, with these meetings typically occurring about two weeks prior to the shareholders' meeting. The Company should be prepared to have members of its board and senior management team participate in these meetings, and, as when engaging with institutional investors, be prepared to recalibrate its message to address the proxy advisory firm's concerns, keeping in mind that, where, as here, the activist investor has nominated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short slate of directors, these firms are likely to be supportive of the Activist Investor's advocacy for change.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the Company is successful in obtaining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favorable recommendation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proxy advisory firm, it will have won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important battle in the proxy contest. Accordingly, the Company should make sure that it gets the most out of the recommendation, including by securing favorable press coverage regarding the recommendation. On the other hand, if the proxy advisory firm decides to side with the Activist Investor, the Company should understand that, while disappointing,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adverse recommendation from ISS, Glass Lewis or both will not necessarily determine the outcome of the proxy contest. In fact, in the 2017 proxy contest between ADP and Bill Ackman's Pershing Square Capital Management, in which all of ADP's nominees were elected, some of ADP's largest institutional investors, including Vanguard, and State Street, supported ADP despite recommendations from ISS, Glass, Lewis &amp; Co., and Egan-Jones to vote for some or all of Pershing Square's nominees.</w:t>
      </w:r>
    </w:p>
    <w:p>
      <w:pPr>
        <w:keepNext w:val="0"/>
        <w:spacing w:before="120" w:after="0" w:line="260" w:lineRule="exact"/>
        <w:ind w:left="360" w:right="0" w:firstLine="0"/>
        <w:jc w:val="left"/>
      </w:pPr>
      <w:r>
        <w:rPr>
          <w:rFonts w:ascii="Times New Roman" w:hAnsi="Times New Roman" w:eastAsia="Times New Roman" w:cs="Times New Roman"/>
          <w:b/>
          <w:sz w:val="24"/>
        </w:rPr>
        <w:t>Disclosure Requirements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the Company believes that the Activist Investor's proxy materials contain false or misleading statements it can notify the SEC of its concerns regarding these materials, or, less typically, initiate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lawsuit alleging violations of Rule 14a-9. Although Rule 14a-9 proceedings can result in injunctive relief, such as enjoining the Activist Investor from soliciting proxies, enjoining the upcoming vote or requiring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vote be taken, more typically the only remedy granted by courts is corrective disclosure.</w:t>
      </w:r>
    </w:p>
    <w:p>
      <w:pPr>
        <w:keepNext w:val="0"/>
        <w:spacing w:before="200" w:after="0" w:line="260" w:lineRule="exact"/>
        <w:ind w:left="720" w:right="0" w:firstLine="0"/>
        <w:jc w:val="center"/>
      </w:pP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We look forward to discussing these matters at your convenience. Please do not hesitate to contact any of us if you have any questions or comments regarding this memorandum.</w:t>
      </w:r>
    </w:p>
    <w:p>
      <w:pPr>
        <w:keepNext w:val="0"/>
        <w:spacing w:before="200" w:after="0" w:line="260" w:lineRule="exact"/>
        <w:ind w:left="720" w:right="0" w:firstLine="0"/>
        <w:jc w:val="right"/>
      </w:pPr>
      <w:r>
        <w:rPr>
          <w:rFonts w:ascii="Times New Roman" w:hAnsi="Times New Roman" w:eastAsia="Times New Roman" w:cs="Times New Roman"/>
          <w:b w:val="0"/>
          <w:sz w:val="24"/>
        </w:rPr>
        <w:t>[NAME]</w:t>
      </w:r>
    </w:p>
    <w:p>
      <w:pPr>
        <w:keepNext w:val="0"/>
        <w:spacing w:before="200" w:after="0" w:line="260" w:lineRule="exact"/>
        <w:ind w:left="720" w:right="0" w:firstLine="0"/>
        <w:jc w:val="right"/>
      </w:pPr>
      <w:r>
        <w:rPr>
          <w:rFonts w:ascii="Times New Roman" w:hAnsi="Times New Roman" w:eastAsia="Times New Roman" w:cs="Times New Roman"/>
          <w:b w:val="0"/>
          <w:sz w:val="24"/>
        </w:rPr>
        <w:t>[PHONE NUMBER]</w:t>
      </w:r>
    </w:p>
    <w:p>
      <w:pPr>
        <w:keepNext w:val="0"/>
        <w:spacing w:before="200" w:after="0" w:line="260" w:lineRule="exact"/>
        <w:ind w:left="720" w:right="0" w:firstLine="0"/>
        <w:jc w:val="right"/>
      </w:pPr>
      <w:r>
        <w:rPr>
          <w:rFonts w:ascii="Times New Roman" w:hAnsi="Times New Roman" w:eastAsia="Times New Roman" w:cs="Times New Roman"/>
          <w:b w:val="0"/>
          <w:sz w:val="24"/>
        </w:rPr>
        <w:t>[EMAIL ADDRESS]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