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Memorandum to Management on 8-K Triggering Events and Related Disclosure Reporting Procedures</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MEMORANDUM</w:t>
      </w:r>
    </w:p>
    <w:p>
      <w:pPr>
        <w:keepNext w:val="0"/>
        <w:spacing w:before="200" w:after="0" w:line="260" w:lineRule="exact"/>
        <w:ind w:left="720" w:right="0" w:firstLine="0"/>
        <w:jc w:val="both"/>
      </w:pPr>
      <w:r>
        <w:rPr>
          <w:rFonts w:ascii="Times New Roman" w:hAnsi="Times New Roman" w:eastAsia="Times New Roman" w:cs="Times New Roman"/>
          <w:b w:val="0"/>
          <w:sz w:val="24"/>
        </w:rPr>
        <w:t>TO: [NAME OF OFFICERS AND OTHER EMPLOYEES RECEIVING MEMO]</w:t>
      </w:r>
    </w:p>
    <w:p>
      <w:pPr>
        <w:keepNext w:val="0"/>
        <w:spacing w:before="200" w:after="0" w:line="260" w:lineRule="exact"/>
        <w:ind w:left="720" w:right="0" w:firstLine="0"/>
        <w:jc w:val="both"/>
      </w:pPr>
      <w:r>
        <w:rPr>
          <w:rFonts w:ascii="Times New Roman" w:hAnsi="Times New Roman" w:eastAsia="Times New Roman" w:cs="Times New Roman"/>
          <w:b w:val="0"/>
          <w:sz w:val="24"/>
        </w:rPr>
        <w:t>FROM: [NAME OF AUTHOR OF MEMO]</w:t>
      </w:r>
    </w:p>
    <w:p>
      <w:pPr>
        <w:keepNext w:val="0"/>
        <w:spacing w:before="200" w:after="0" w:line="260" w:lineRule="exact"/>
        <w:ind w:left="720" w:right="0" w:firstLine="0"/>
        <w:jc w:val="both"/>
      </w:pPr>
      <w:r>
        <w:rPr>
          <w:rFonts w:ascii="Times New Roman" w:hAnsi="Times New Roman" w:eastAsia="Times New Roman" w:cs="Times New Roman"/>
          <w:b w:val="0"/>
          <w:sz w:val="24"/>
        </w:rPr>
        <w:t>DATE: [DATE]</w:t>
      </w:r>
    </w:p>
    <w:p>
      <w:pPr>
        <w:keepNext w:val="0"/>
        <w:spacing w:before="200" w:after="0" w:line="260" w:lineRule="exact"/>
        <w:ind w:left="720" w:right="0" w:firstLine="0"/>
        <w:jc w:val="both"/>
      </w:pPr>
      <w:r>
        <w:rPr>
          <w:rFonts w:ascii="Times New Roman" w:hAnsi="Times New Roman" w:eastAsia="Times New Roman" w:cs="Times New Roman"/>
          <w:b w:val="0"/>
          <w:sz w:val="24"/>
        </w:rPr>
        <w:t>RE: Form 8-K Triggering Events and Related Disclosure Reporting Procedures</w:t>
      </w:r>
    </w:p>
    <w:p>
      <w:pPr>
        <w:keepNext w:val="0"/>
        <w:spacing w:before="120" w:after="0" w:line="260" w:lineRule="exact"/>
        <w:ind w:left="720" w:right="0" w:firstLine="0"/>
        <w:jc w:val="left"/>
      </w:pPr>
      <w:r>
        <w:rPr>
          <w:rFonts w:ascii="Times New Roman" w:hAnsi="Times New Roman" w:eastAsia="Times New Roman" w:cs="Times New Roman"/>
          <w:b w:val="0"/>
          <w:sz w:val="24"/>
        </w:rPr>
        <w:t>Introduction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This memorandum to management and certain other employees of [Name of Company] (the “Company”) describes the types of significant corporate events that can trigger the requirement under the Securities and Exchange Commission (the “SEC”) rules that the Company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Report on Form 8-K (“Form 8-K”) within four business days of the triggering event (except that Regulation FD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shorter deadline, as discussed below). Given the short window of time to prepare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it is important to follow procedures discussed herein to ensure that knowledge of triggering or potentially triggering events is communicated to the appropriate parties within the Company so that they may evaluate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is needed.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Federal securities laws also require that the Company maintain disclosure controls and procedures to ensure that information filed with the SEC, including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is timely and accurate. The Company’s Chief Executive Officer and Chief Financial Officer must certify quarterly as to the establishment, maintenance and control of these disclosure controls and procedures. In order to assist with this responsibility and support the Company’s goals with respect to disclosure, the Company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Committee.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You have been identified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may become aware of the types of corporate developments that can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filing. It is crucial that you are able to recognize these developments and report them promptly to [the Disclosure Committee’s designee or sub-committee appointed by the Disclosure Committee to handle Form 8-Ks, [TITLES OF INDIVIDUALS] (the “[Form 8-K Contact]”), who will conduct the necessary analysis.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Many of the events that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are matters of judgment and may be extremely sensitive and confidential. For that reason, you should not make the determination yourself (in email or otherwise)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but rather report the information to the [Form 8-K Contact] who will, with other appropriate individuals [on the Disclosure Committee], evaluate materiality, draft disclosure if necessary and file the Form 8-K. Given the four-day deadline for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you should not hesitate to consult the [Form 8-K Contact] at the earliest possible time, even if you do not have all the details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or are uncertain as to how it compares to the items described in this memo. There may be serious consequences, such as liability and penalties under the federal securities laws, if the Company fails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within the required period.</w:t>
      </w:r>
    </w:p>
    <w:p>
      <w:pPr>
        <w:keepNext w:val="0"/>
        <w:spacing w:before="120" w:after="0" w:line="260" w:lineRule="exact"/>
        <w:ind w:left="1080" w:right="0" w:firstLine="240"/>
        <w:jc w:val="left"/>
      </w:pPr>
      <w:r>
        <w:rPr>
          <w:rFonts w:ascii="Times New Roman" w:hAnsi="Times New Roman" w:eastAsia="Times New Roman" w:cs="Times New Roman"/>
          <w:b w:val="0"/>
          <w:sz w:val="24"/>
        </w:rPr>
        <w:t>The Form 8-K is organized into separate items of required information, which are set forth in the table below. This memo describes the triggering events and corresponding items that are applicable to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Registrant’s Business and Operations.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Entry Into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Definitive Agreement.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the Company enters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definitive agreement not made in the ordinary course of business, or into any material amendment of such agreement, the Company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definitive agreement is one that provides for (i) obligations that are material to and enforceable against the Company or (ii) rights that are material to the Company and enforceable by the Company against another party (in each case, whether or not subject to conditions, such as satisfactory completion of due diligence or receipt of board approval).</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Material definitive agreements that are required to be reported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are also required to be filed as exhibits to the Company’s Form 10-Qs and Form 10-Ks. Examples of such agreements include: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Contracts with directors, officers, promoters, voting trustees, underwriters and certain security holders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Contracts upon which the Company is substantially dependent (such as sales or supply contracts)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Contracts for the acquisition or disposition of any property for consideration in excess of 15% of the Company’s fixed assets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Material property leases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Credit agreements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Merger and acquisition agreements (unless insignificant, such as mergers of two wholly-owned subsidiaries)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Non-binding letters of intent typically do not rise to the level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definitive agreement, even when they include enforceable confidentiality or exclusivity provisions. However, more substantive binding provisions may cross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materiality threshold and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filing.</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you are in the process of negotiating one of the agreements listed above,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not listed but which you think could be material, you should notify the [Form 8-K Contact] so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evaluation of the agreement can be made. Please do not wait until the agreement is executed to raise the Form 8-K issue as this will not allow sufficient time to analyze materiality and draft disclosure.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Termination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Definitive Agreement.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definitive agreement not made in the ordinary course is terminated by the Company or the other party (except through expiration on the termination date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all parties completing their obligations) and such termination is material to the Company, the Company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Form 8-K is triggered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w:t>
      </w:r>
      <w:r>
        <w:rPr>
          <w:rFonts w:ascii="Times New Roman" w:hAnsi="Times New Roman" w:eastAsia="Times New Roman" w:cs="Times New Roman"/>
          <w:b w:val="0"/>
          <w:sz w:val="24"/>
        </w:rPr>
        <w:t xml:space="preserve"> of termination, even if it is subject to conditions. Please notify the [Form 8-K Contact] immediately if:</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You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definitive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You are aware that one may be imminent.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You are negotiating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Bankruptcy or Receivership.</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the Company enters bankruptcy or receivership, either under the U.S. Bankruptcy Code or any other state or federal law, the Company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Mine Safety – Reporting of Shutdowns and Patterns of Violations.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This item applies only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that operates, or whose subsidiary operates,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coal or other mine and has received any of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imminent danger order issued under section 107(</w:t>
      </w:r>
      <w:r>
        <w:rPr>
          <w:rFonts w:ascii="Times New Roman" w:hAnsi="Times New Roman" w:eastAsia="Times New Roman" w:cs="Times New Roman"/>
          <w:b/>
          <w:sz w:val="24"/>
        </w:rPr>
        <w:t>a</w:t>
      </w:r>
      <w:r>
        <w:rPr>
          <w:rFonts w:ascii="Times New Roman" w:hAnsi="Times New Roman" w:eastAsia="Times New Roman" w:cs="Times New Roman"/>
          <w:b w:val="0"/>
          <w:sz w:val="24"/>
        </w:rPr>
        <w:t>) of the Federal Mine Safety and Health Act of 1977 (the “FMSHA”)</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Written notice from the Mine Safety and Health Administration that the mine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pattern of violations of mandatory health or safety standards that could have significantly and substantially contributed to the cause and effect of mine health or safety hazards under section 104(e) of the FMSHA</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Written notice from the Mine Safety and Health Administration that the mine has the potential to have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pattern</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contact the [Form 8-K Contact] if you have received any of those communications.]</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Information.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Completion of Acquisition or Disposition of Assets.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the Company or any of its majority-owned subsidiaries has completed the acquisition or disposition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amount of assets other than in the ordinary course of business, the Company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amount of assets is defined as one of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Company or its subsidiary’s equity in the net book value of the assets, or the purchase price given or received, exceeds 10% of the Company’s consolidated assets.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business is significant under Rule 11.01(b) of Regulation S-X.</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calculation as to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assets is significant should be performed by the Company’s chief financial officer or his/her designee.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Since this item is triggered only upon completion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the initial agreement committing the Company to the transaction should have been filed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definitive agreement. If you are working on the closing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or disposition which was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Form 8-K, you should consult the [Form 8-K Contact] and the chief financial officer or his/her designee to determine if the amount involved would be considered significant for the purposes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under Item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Results of Operations and Financial Condition.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This item is triggered any time the Company publicly announces material non-public information regarding its results of operations or financial condition, such as when the Company files its annual and quarterly earnings press releases or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 of guidance after the quarter closes but before earnings has been released.</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is not required for material non-public information that is disclosed orally, telephonically, by webcast, by broadcast, or by similar means if:</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The information is provided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presentation that is complementary to, and initially occurs within 48 hours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written announcement or release that has been furnished on Form 8-K (e.g., the Company’s earnings release) prior to the presentation.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presentation is broadly accessible to the public by dial-in conference call, webcast, broadcast or similar means.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financial and other statistical information contained in the presentation is provided on the Company’s website.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The presentation was announced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widely disseminated press release that included instructions as to when and how to access the presentation and the location on the Company’s website where the information is available.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are involved in webcasting or broadcasting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presentation, please be sure to coordinate your activities with the [Form 8-K Contact] to ensure that the release of information is handled properly and will not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filing.</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Creation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Direct Financial Obligation or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Obligation under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Off-Balance Sheet Arrangement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Registrant.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Under this item, the Company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if it: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Becomes obligated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direct financial obligation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Becomes directly or contingently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obligation arising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off-balance sheet arrangement</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financial obligation means any of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long-term debt obligation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lease obligation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lease obligation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short-term debt obligation (generally, maturing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that arises other than in the ordinary course of business</w:t>
      </w:r>
    </w:p>
    <w:p>
      <w:pPr>
        <w:keepNext w:val="0"/>
        <w:spacing w:before="120" w:after="0" w:line="260" w:lineRule="exact"/>
        <w:ind w:left="1080" w:right="0" w:firstLine="240"/>
        <w:jc w:val="left"/>
      </w:pPr>
      <w:r>
        <w:rPr>
          <w:rFonts w:ascii="Times New Roman" w:hAnsi="Times New Roman" w:eastAsia="Times New Roman" w:cs="Times New Roman"/>
          <w:b w:val="0"/>
          <w:sz w:val="24"/>
        </w:rPr>
        <w:t>Common examples of direct financial obligations include credit agreements and notes.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Company becomes obligated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financial obligation: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When the Company enters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enforceable agreement, whether or not subject to conditions, under which the direct financial obligation will arise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Upon the closing or settlement of the transaction or arrangement under which the direct financial obligation arises (if there is no such agreement)</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must be filed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off-balance sheet arrangement even if the Company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agreement that created the obligation. In that case, the obligation (for the purposes of determining when the Form 8-K is due) arises upon the earlier of:</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date the contingent obligation is created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The date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of the Company becomes aware of the contingent obligation</w:t>
      </w:r>
    </w:p>
    <w:p>
      <w:pPr>
        <w:keepNext w:val="0"/>
        <w:spacing w:before="120" w:after="0" w:line="260" w:lineRule="exact"/>
        <w:ind w:left="1080" w:right="0" w:firstLine="240"/>
        <w:jc w:val="left"/>
      </w:pPr>
      <w:r>
        <w:rPr>
          <w:rFonts w:ascii="Times New Roman" w:hAnsi="Times New Roman" w:eastAsia="Times New Roman" w:cs="Times New Roman"/>
          <w:b w:val="0"/>
          <w:sz w:val="24"/>
        </w:rPr>
        <w:t>Common examples of off-balance sheet arrangements include receivables financing and (in some instances) guarantees.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you are involved in negotiating, or are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direct financial obligation or off-balance sheet arrangement for the Company or one of its subsidiaries, you should notify the [Form 8-K Contact] so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evaluation can be made as to whether it is material.</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Triggering Events That Accelerate or Increase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Direct Financial Obligation or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Obligation under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Off-Balance Sheet Arrangement.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the Company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financial obligation (whether direct or off-balance sheet), any material increase or acceleration triggers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This includes one that transforms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off-balance sheet arrangement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obligation.</w:t>
      </w:r>
    </w:p>
    <w:p>
      <w:pPr>
        <w:keepNext w:val="0"/>
        <w:spacing w:before="120" w:after="0" w:line="260" w:lineRule="exact"/>
        <w:ind w:left="1080" w:right="0" w:firstLine="240"/>
        <w:jc w:val="left"/>
      </w:pPr>
      <w:r>
        <w:rPr>
          <w:rFonts w:ascii="Times New Roman" w:hAnsi="Times New Roman" w:eastAsia="Times New Roman" w:cs="Times New Roman"/>
          <w:b w:val="0"/>
          <w:sz w:val="24"/>
        </w:rPr>
        <w:t>Triggering events include events of default, events of acceleration, and similar events.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No disclosure is required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triggering event has occurred in accordance with the terms of the agreement or arrangement, including, if required, the sending of notice of the occurrence of such event in accordance with the agreement or arrangement and the satisfaction of all conditions to such occurrence, except the passage of time. In addition, no disclosure is required if the registrant believes in good faith that no triggering event has occurred, </w:t>
      </w:r>
      <w:r>
        <w:rPr>
          <w:rFonts w:ascii="Times New Roman" w:hAnsi="Times New Roman" w:eastAsia="Times New Roman" w:cs="Times New Roman"/>
          <w:b w:val="0"/>
          <w:sz w:val="24"/>
        </w:rPr>
        <w:t>unless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default has been received.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Because it is very difficult to determine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triggering event has occurred, and because good faith is difficult to prove, you should notify the [Form 8-K Contact] whenever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acceleration or increase of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financial obligation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off-balance sheet arrangement.</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Associated with Exit or Disposal Activities.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the Company’s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committee or the authorized officers of the Company commit the Company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exit or disposal plan, or otherwise dispose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long-lived asset or terminate employees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 which material charges under generally accepted accounting principles (“GAAP”) will be incurred, the Company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w:t>
      </w:r>
    </w:p>
    <w:p>
      <w:pPr>
        <w:keepNext w:val="0"/>
        <w:spacing w:before="200" w:after="0" w:line="260" w:lineRule="exact"/>
        <w:ind w:left="1080" w:right="0" w:firstLine="0"/>
        <w:jc w:val="both"/>
      </w:pPr>
      <w:r>
        <w:rPr>
          <w:rFonts w:ascii="Times New Roman" w:hAnsi="Times New Roman" w:eastAsia="Times New Roman" w:cs="Times New Roman"/>
          <w:b w:val="0"/>
          <w:sz w:val="24"/>
        </w:rPr>
        <w:t>Employee Termination</w:t>
      </w:r>
      <w:r>
        <w:rPr>
          <w:rFonts w:ascii="Times New Roman" w:hAnsi="Times New Roman" w:eastAsia="Times New Roman" w:cs="Times New Roman"/>
          <w:b w:val="0"/>
          <w:sz w:val="24"/>
        </w:rPr>
        <w:t xml:space="preserve">. If the Company is terminating employees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exit activity, but has not yet informed the affected employees, it need not disclose that decision within the four business days following commitment to its plan of termination, but can wait until after it has informed the employees to be terminated.</w:t>
      </w:r>
    </w:p>
    <w:p>
      <w:pPr>
        <w:keepNext w:val="0"/>
        <w:spacing w:before="120" w:after="0" w:line="260" w:lineRule="exact"/>
        <w:ind w:left="1080" w:right="0" w:firstLine="240"/>
        <w:jc w:val="left"/>
      </w:pPr>
      <w:r>
        <w:rPr>
          <w:rFonts w:ascii="Times New Roman" w:hAnsi="Times New Roman" w:eastAsia="Times New Roman" w:cs="Times New Roman"/>
          <w:b w:val="0"/>
          <w:sz w:val="24"/>
        </w:rPr>
        <w:t>If you are involved in any of these activities, even at the early stages or if you are not sure whether the charge would be material, you should notify the [Form 8-K Contact].</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Impairments.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the Company’s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committee or the authorized officers conclude that GAAP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charge for impairment to one or more of assets, including, without limitation, impairments of securities or goodwill, the Company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Company determines it is unable in good faith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required by Item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no disclosure of such estimate is required, however, it must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Form 8-K after making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Again, because it may be difficult to determine materiality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impairment, you should consult the [Form 8-K Contact] if you are involved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contemplated impairment.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Securities and Trading Markets.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Notice of Delisting or Failure to Satisfy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Continued Listing Rule or Standard; Transfer of Listing.</w:t>
      </w:r>
    </w:p>
    <w:p>
      <w:pPr>
        <w:keepNext w:val="0"/>
        <w:spacing w:before="120" w:after="0" w:line="260" w:lineRule="exact"/>
        <w:ind w:left="1080" w:right="0" w:firstLine="240"/>
        <w:jc w:val="left"/>
      </w:pPr>
      <w:r>
        <w:rPr>
          <w:rFonts w:ascii="Times New Roman" w:hAnsi="Times New Roman" w:eastAsia="Times New Roman" w:cs="Times New Roman"/>
          <w:b w:val="0"/>
          <w:sz w:val="24"/>
        </w:rPr>
        <w:t>This item is triggered if the Company has received notice from [NYSE/NASDAQ] that one of the following has occurred: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The Company does not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or standard for continued listing.</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The exchange has submitted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to the SEC to delist the Company’s securities.</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is also required: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the Company has notified [NYSE/NASDAQ] that the Company is aware of any material noncompliance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or standard for continued listing on the exchange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[NYSE/NASDAQ], in lieu of suspending trading in or delisting the Company’s securities, issues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reprimand letter or similar communication indicating that the Company has violated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or standard for continued listing</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the Company’s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committee or authorized officers have taken definitive action to terminate or withdraw the listing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the Company’s common equity from [NYSE/NASDAQ], including in order to transfer the listing to another securities exchange</w:t>
      </w:r>
    </w:p>
    <w:p>
      <w:pPr>
        <w:keepNext w:val="0"/>
        <w:spacing w:before="120" w:after="0" w:line="260" w:lineRule="exact"/>
        <w:ind w:left="1080" w:right="0" w:firstLine="240"/>
        <w:jc w:val="left"/>
      </w:pPr>
      <w:r>
        <w:rPr>
          <w:rFonts w:ascii="Times New Roman" w:hAnsi="Times New Roman" w:eastAsia="Times New Roman" w:cs="Times New Roman"/>
          <w:b w:val="0"/>
          <w:sz w:val="24"/>
        </w:rPr>
        <w:t>If you have received any of the communications referenced above from [NYSE/NASDAQ], or if you become aware of any material noncompliance with the rules of [NYSE/NASDAQ], you should notify the [Form 8-K Contact] immediately.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Unregistered Sales of Equity Securities.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Company sells equity securities (or securities convertible into or exercisable for equity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that is not registered under the Securities Act, the Company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you are negotiating or otherwise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sale by the Company of unregistered equity securities, you should consult the [Form 8-K Contact].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Modification of Rights of Security Holders.</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is required under this item:</w:t>
      </w:r>
    </w:p>
    <w:p>
      <w:pPr>
        <w:keepNext w:val="0"/>
        <w:spacing w:before="200" w:after="0" w:line="260" w:lineRule="exact"/>
        <w:ind w:left="1440" w:right="0" w:firstLine="0"/>
        <w:jc w:val="both"/>
      </w:pPr>
      <w:r>
        <w:rPr>
          <w:rFonts w:ascii="Times New Roman" w:hAnsi="Times New Roman" w:eastAsia="Times New Roman" w:cs="Times New Roman"/>
          <w:b w:val="0"/>
          <w:sz w:val="24"/>
        </w:rPr>
        <w:t>•</w:t>
        <w:tab/>
        <w:t>If the constituent instruments defining the rights of the holders of any class of registered securities have been materially modified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If the rights evidenced by any class of registered securities have been materially limited or qualified by the issuance or modification of any other class of securities</w:t>
      </w:r>
    </w:p>
    <w:p>
      <w:pPr>
        <w:keepNext w:val="0"/>
        <w:spacing w:before="120" w:after="0" w:line="260" w:lineRule="exact"/>
        <w:ind w:left="1080" w:right="0" w:firstLine="240"/>
        <w:jc w:val="left"/>
      </w:pPr>
      <w:r>
        <w:rPr>
          <w:rFonts w:ascii="Times New Roman" w:hAnsi="Times New Roman" w:eastAsia="Times New Roman" w:cs="Times New Roman"/>
          <w:b w:val="0"/>
          <w:sz w:val="24"/>
        </w:rPr>
        <w:t>This could occur, for example, if the Company’s certificate of incorporation or bylaws were amended to change the rights of stockholders with respect to voting requirements for certain actions, such as stockholder meetings or mergers with other companies. Any agreement regarding working capital restrictions and other limitations upon the payment of dividends would also need to be reported pursuant to this item.</w:t>
      </w:r>
    </w:p>
    <w:p>
      <w:pPr>
        <w:keepNext w:val="0"/>
        <w:spacing w:before="120" w:after="0" w:line="260" w:lineRule="exact"/>
        <w:ind w:left="1080" w:right="0" w:firstLine="240"/>
        <w:jc w:val="left"/>
      </w:pPr>
      <w:r>
        <w:rPr>
          <w:rFonts w:ascii="Times New Roman" w:hAnsi="Times New Roman" w:eastAsia="Times New Roman" w:cs="Times New Roman"/>
          <w:b w:val="0"/>
          <w:sz w:val="24"/>
        </w:rPr>
        <w:t>If you are involved in any transactions or matters relating to modification of rights of security holders, you should consult the [Form 8-K Contact].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Matters Related to Accountants and Financial Statements.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Changes in Registrant's Certifying Accountant.</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is required under this item:</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the Company’s independent auditor,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accountant upon whom the auditor relied in its report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subsidiary, resigns (or indicates that it declines to stand for re-appointment after completion of the current audit) or is dismissed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accountant has been engaged by the Company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the Company’s principal accountant enters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combination with another accounting firm, the Company must evaluate the combination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facts and circumstances basis to determine whether it is required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(Changes in Registrant’s Certifying Accountant) Form 8-K.</w:t>
      </w:r>
    </w:p>
    <w:p>
      <w:pPr>
        <w:keepNext w:val="0"/>
        <w:spacing w:before="120" w:after="0" w:line="260" w:lineRule="exact"/>
        <w:ind w:left="1080" w:right="0" w:firstLine="240"/>
        <w:jc w:val="left"/>
      </w:pPr>
      <w:r>
        <w:rPr>
          <w:rFonts w:ascii="Times New Roman" w:hAnsi="Times New Roman" w:eastAsia="Times New Roman" w:cs="Times New Roman"/>
          <w:b w:val="0"/>
          <w:sz w:val="24"/>
        </w:rPr>
        <w:t>If you receive any communication from the Company’s auditor relating to these matters, or are aware of any information relating to dismissal of the Company’s auditors, you should notify the [Form 8-K Contact].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Non-Reliance on Previously Issued Financial Statements 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Related Audit Report 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Completed Interim Review.</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is required: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the Company’s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committee or the authorized officers conclude that any previously issued financial statements covering one or more years or interim periods should no longer be relied upon because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error</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the Company is advised by, or receives notice from, its independent accountant that disclosure should be made or action should be taken to prevent future reliance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issued audit report or completed interim review related to previously issued financial statements</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restatement of the Company’s financial statements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extremely serious matter. If you have received any communication from the Company’s auditor or had any discussions regarding non-reliance on the Company’s financial statements (whether or not with the auditor), you should notify the [Form 8-K Contact] immediately.</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Governance and Management.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Changes in Control of Registrant.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to the knowledge of the Company’s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committee or authorized officers,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of the Company has occurred, the Company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Company must also provide information relating to any arrangements, including any pledge of securities, which may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date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of the Company.</w:t>
      </w:r>
    </w:p>
    <w:p>
      <w:pPr>
        <w:keepNext w:val="0"/>
        <w:spacing w:before="120" w:after="0" w:line="260" w:lineRule="exact"/>
        <w:ind w:left="1080" w:right="0" w:firstLine="240"/>
        <w:jc w:val="left"/>
      </w:pPr>
      <w:r>
        <w:rPr>
          <w:rFonts w:ascii="Times New Roman" w:hAnsi="Times New Roman" w:eastAsia="Times New Roman" w:cs="Times New Roman"/>
          <w:b w:val="0"/>
          <w:sz w:val="24"/>
        </w:rPr>
        <w:t>If you are aware of any of these matters, you should notify the [Form 8-K Contact].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Departure of Directors or Certain Officers; Election of Directors; Appointment of Certain Officers; Compensatory Arrangements of Certain Officers.</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is required: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retires, resigns, is removed, or refuses to stand for re-election 1)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disagreement with the Company, known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of the Company, on any matter relating to the Company’s operations, policies or practices or 2) for any other reason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has been removed for cause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the Company elects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director,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vote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If the Company’s principal executive officer, president, principal financial officer, principal accounting officer, principal operating officer, or any person performing similar functions, or any executive officer named in the summary compensation table of the Company’s proxy statement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executive officer”), retires, resigns or is terminated from that position or the Company appoints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individual to any of the above positions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the Company enters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compensatory plan, contract or arrangement (whether or not written) as to which the Company’s principal executive officer, principal financial officer,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executive officer participates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one is materially amended or terminated other than according to its terms,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grant or award thereunder is made or materially modified)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the salary or bonus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executive officer cannot be calculated as of the most recent practicable date and is omitted from the summary compensation table in the Company’s proxy statement and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grant, award, decision or other occurrence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such amounts become calculable in whole or part</w:t>
      </w:r>
    </w:p>
    <w:p>
      <w:pPr>
        <w:keepNext w:val="0"/>
        <w:spacing w:before="120" w:after="0" w:line="260" w:lineRule="exact"/>
        <w:ind w:left="1080" w:right="0" w:firstLine="240"/>
        <w:jc w:val="left"/>
      </w:pPr>
      <w:r>
        <w:rPr>
          <w:rFonts w:ascii="Times New Roman" w:hAnsi="Times New Roman" w:eastAsia="Times New Roman" w:cs="Times New Roman"/>
          <w:b w:val="0"/>
          <w:sz w:val="24"/>
        </w:rPr>
        <w:t>The disclosure requirement with respect to departures of directors and officers is triggered by notice of their decision to resign, retire or refusal to stand for re-election, not by the actual date of termination of such person’s position. If you are aware of any possible departures that may trigger this item, or have received such notice even orally, you should consult the [Form 8-K Contact].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you are involved in, or aware of, any new material executive compensation arrangements (or amendments or terminations), or believe you have information regarding calculation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executive officer’s salary or bonus, please notify the [Form 8-K Contact].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Articles of Incorporation or Bylaws; Change in Fiscal Year.</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Under this item, the Company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if it (i) amends its articles of incorporation or bylaws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for the amendment has not been disclosed in the Company’s proxy statement (e.g., with respect to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designation to authorize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series preferred stock) or (ii) determines to change its fiscal year (other than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vote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its articles of incorporation or bylaws).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you are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amendment to the certificate of incorporation or change in fiscal year, you should notify the [Form 8-K Contact].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Temporary Suspension of Trading Under Registrant's Employee Benefit Plans.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Company is required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if the plan administrator under its employee benefit plans suspends trading, that is, institutes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“blackout period,”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blackout period is defined as any period of more than three consecutive business days when the Company or plan fiduciary temporarily suspends the ability of at least 50% of participants under all of the individual account plans maintained by the Company to buy, sell or otherwise acquire or transfer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of the Company under such plans.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filing for Item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is due: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Within four business days after the Company receives the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blackout from its plan administrator (required by Section 101(e)(2)(E) of ERISA) or</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such notice is not received, on the same day the Company transmits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notice required under the SEC’s Regulation BTR to its directors and officers of the plan blackout period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receive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blackout period or are party to discussions about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one, you should notify the [Form 8-K Contact].</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Amendments to the Registrant's Code of Ethics, or Waiver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Provision of the Code of Ethics.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if it: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Amends any provision of [NAME OF THE COMPANY’S CODE OF ETHICS THAT APPLIES TO ITS PRINCIPAL EXECUTIVE OFFICER, PRINCIPAL FINANCIAL OFFICER, PRINCIPAL ACCOUNTING OFFICER OR CONTROLLER OR PERSONS PERFORMING SIMILAR FUNCTIONS] (the “Code of Ethics”) or</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Waives any provision of the Code of Ethics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implicit waiver) applicable to the Company’s principal executive officer, principal financial officer, principal accounting officer or controller or persons performing similar functions</w:t>
      </w:r>
    </w:p>
    <w:p>
      <w:pPr>
        <w:keepNext w:val="0"/>
        <w:spacing w:before="200" w:after="0" w:line="260" w:lineRule="exact"/>
        <w:ind w:left="1080" w:right="0" w:firstLine="0"/>
        <w:jc w:val="both"/>
      </w:pPr>
      <w:r>
        <w:rPr>
          <w:rFonts w:ascii="Times New Roman" w:hAnsi="Times New Roman" w:eastAsia="Times New Roman" w:cs="Times New Roman"/>
          <w:b w:val="0"/>
          <w:sz w:val="24"/>
        </w:rPr>
        <w:t>For this purpose: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The term waiver means the approval by the Company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departure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code of ethics.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The term implicit waiver means the Company’s failure to take action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departure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code of ethics that has been made known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If you are aware that any such amendment or waiver is contemplated or has been made, or are unsure whether certain behavior is covered by the Code of Ethics, you should consult the [Form 8-K Contact].</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Submission of Matters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Vote of Security 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matter was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Company’s security holders through the solicitation of proxies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or otherwise, the Company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to report the results of the vote on each matter, including votes for each individual director in the case of director elections and for each year (1, 2 and 3) in the case of frequency of the say-on-pay vote. If the final vote is not yet calculated, the Company must file within the time period to report preliminary results and follow up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Form 8-K when final results become available within four business days.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must also be filed to disclose the terms of any settlement between the Company and certain parties who have launched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fight, including the cost or anticipated cost to the Company.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Additionally, the Company must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within 150 calendar days after the meeting, but no later than 60 days before deadline to submit shareholder proposals, to disclose its decision on the frequency of the say-on-pay advisory vote following the most recent frequency vote.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you are involved in any of these matters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vote, you should consult the [Form 8-K Contact].</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 Director Nominations.</w:t>
      </w:r>
    </w:p>
    <w:p>
      <w:pPr>
        <w:keepNext w:val="0"/>
        <w:spacing w:before="120" w:after="0" w:line="260" w:lineRule="exact"/>
        <w:ind w:left="1080" w:right="0" w:firstLine="240"/>
        <w:jc w:val="left"/>
      </w:pPr>
      <w:r>
        <w:rPr>
          <w:rFonts w:ascii="Times New Roman" w:hAnsi="Times New Roman" w:eastAsia="Times New Roman" w:cs="Times New Roman"/>
          <w:b w:val="0"/>
          <w:sz w:val="24"/>
        </w:rPr>
        <w:t>The Company must disclose certain dates regarding shareholder proposals or shareholder director nominations: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the Company did not hold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the previous year, or the date of the annual meeting has been changed by more than 30 calendar days from the date of the previous year’s meeting</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If the Company is required to include shareholder director nominees in its proxy materials pursuant to either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state or foreign law provision,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in the Company’s governing documents</w:t>
      </w:r>
    </w:p>
    <w:p>
      <w:pPr>
        <w:keepNext w:val="0"/>
        <w:spacing w:before="120" w:after="0" w:line="260" w:lineRule="exact"/>
        <w:ind w:left="1080" w:right="0" w:firstLine="240"/>
        <w:jc w:val="left"/>
      </w:pPr>
      <w:r>
        <w:rPr>
          <w:rFonts w:ascii="Times New Roman" w:hAnsi="Times New Roman" w:eastAsia="Times New Roman" w:cs="Times New Roman"/>
          <w:b w:val="0"/>
          <w:sz w:val="24"/>
        </w:rPr>
        <w:t>If you work on scheduling the annual meeting or are involved in such matters, you should consult the [Form 8-K Contact].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Regulation FD.</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Regulation FD Disclosure.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Item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that the Company can use to satisfy its obligations under Regulation Fair Disclosure to make public disclosure of material non-public information prior to, or simultaneously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disclosure. [You should consult the [Name of Company’s Fair Disclosure Policy] for further information on Regulation Fair Disclosure if you have any questions.]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you have information that you believe may be material non-public information and that you would like to disclose or believe is being considered for disclosure, you should consult the [Form 8-K Contact] as well as following all instructions in the [Name of Company’s Fair Disclosure Policy]. Please note that Regulation Fair Disclosure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much shorter disclosure deadline than the Form 8-K filing deadlines discussed in this memorandum (often as short as 24 hours after private disclosure occurs), so it is essential to contact [Form 8-K Contact] as far in advance of any private disclosure of material non-public information as possible.</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Events.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Events.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Item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used to voluntarily disclose any event or information that the Company determines is important to security holders, but is not otherwise required to be reported on Form 8-K.</w:t>
      </w:r>
    </w:p>
    <w:p>
      <w:pPr>
        <w:keepNext w:val="0"/>
        <w:spacing w:before="120" w:after="0" w:line="260" w:lineRule="exact"/>
        <w:ind w:left="1080" w:right="0" w:firstLine="240"/>
        <w:jc w:val="left"/>
      </w:pPr>
      <w:r>
        <w:rPr>
          <w:rFonts w:ascii="Times New Roman" w:hAnsi="Times New Roman" w:eastAsia="Times New Roman" w:cs="Times New Roman"/>
          <w:b w:val="0"/>
          <w:sz w:val="24"/>
        </w:rPr>
        <w:t>The Company is selective in what information it will disclose under this item, but [has considered/will consider] the following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Updates of earnings guidance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Significant litigation matters (whether positive or negative)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Investor presentations to be given in private forums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Any other information the Company has considered/will consider disclosing under this item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are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development that you think may be appropriate for voluntary disclosure on Form 8-K, you can contact the [Form 8-K Contact].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