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b/>
          <w:sz w:val="24"/>
        </w:rPr>
        <w:t>To:</w:t>
      </w:r>
      <w:r>
        <w:rPr>
          <w:rFonts w:ascii="Times New Roman" w:hAnsi="Times New Roman" w:eastAsia="Times New Roman" w:cs="Times New Roman"/>
          <w:sz w:val="24"/>
        </w:rPr>
        <w:t xml:space="preserve"> The Board of Directors and Senior Management of [name of company] (Company)</w:t>
      </w:r>
    </w:p>
    <w:p>
      <w:pPr/>
      <w:r>
        <w:rPr>
          <w:rFonts w:ascii="Times New Roman" w:hAnsi="Times New Roman" w:eastAsia="Times New Roman" w:cs="Times New Roman"/>
          <w:b/>
          <w:sz w:val="24"/>
        </w:rPr>
        <w:t>From:</w:t>
      </w:r>
      <w:r>
        <w:rPr>
          <w:rFonts w:ascii="Times New Roman" w:hAnsi="Times New Roman" w:eastAsia="Times New Roman" w:cs="Times New Roman"/>
          <w:sz w:val="24"/>
        </w:rPr>
        <w:t xml:space="preserve"> [name of counsel]</w:t>
      </w:r>
    </w:p>
    <w:p>
      <w:pPr/>
      <w:r>
        <w:rPr>
          <w:rFonts w:ascii="Times New Roman" w:hAnsi="Times New Roman" w:eastAsia="Times New Roman" w:cs="Times New Roman"/>
          <w:b/>
          <w:sz w:val="24"/>
        </w:rPr>
        <w:t>Date:</w:t>
      </w:r>
      <w:r>
        <w:rPr>
          <w:rFonts w:ascii="Times New Roman" w:hAnsi="Times New Roman" w:eastAsia="Times New Roman" w:cs="Times New Roman"/>
          <w:sz w:val="24"/>
        </w:rPr>
        <w:t xml:space="preserve"> [date]</w:t>
      </w:r>
    </w:p>
    <w:p>
      <w:pPr/>
      <w:r>
        <w:rPr>
          <w:rFonts w:ascii="Times New Roman" w:hAnsi="Times New Roman" w:eastAsia="Times New Roman" w:cs="Times New Roman"/>
          <w:b/>
          <w:sz w:val="24"/>
        </w:rPr>
        <w:t>Re:</w:t>
      </w:r>
      <w:r>
        <w:rPr>
          <w:rFonts w:ascii="Times New Roman" w:hAnsi="Times New Roman" w:eastAsia="Times New Roman" w:cs="Times New Roman"/>
          <w:sz w:val="24"/>
        </w:rPr>
        <w:t xml:space="preserve"> Delisting and Deregistration Under the Securities Exchange Act of 1934</w:t>
      </w:r>
    </w:p>
    <w:p>
      <w:pPr/>
      <w:r>
        <w:rPr>
          <w:rFonts w:ascii="Times New Roman" w:hAnsi="Times New Roman" w:eastAsia="Times New Roman" w:cs="Times New Roman"/>
          <w:sz w:val="24"/>
        </w:rPr>
        <w:t>Introduction</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The Company's securities are currently listed on the [name of national securities exchange]</w:t>
      </w:r>
      <w:r>
        <w:rPr>
          <w:rFonts w:ascii="Times New Roman" w:hAnsi="Times New Roman" w:eastAsia="Times New Roman" w:cs="Times New Roman"/>
          <w:sz w:val="24"/>
        </w:rPr>
        <w:t>,</w:t>
      </w:r>
      <w:r>
        <w:rPr>
          <w:rFonts w:ascii="Times New Roman" w:hAnsi="Times New Roman" w:eastAsia="Times New Roman" w:cs="Times New Roman"/>
          <w:sz w:val="24"/>
        </w:rPr>
        <w:t xml:space="preserve"> and the Company is subject to the reporting and other requirements of the Securities Exchange Act of 1934, as amended (Exchange Act). For various reasons, the Company may desire to terminate its listing on the [name of national securities exchange] and withdraw the registration of its securities under the Exchange Act.</w:t>
      </w:r>
    </w:p>
    <w:p>
      <w:pPr/>
      <w:r>
        <w:rPr>
          <w:rFonts w:ascii="Times New Roman" w:hAnsi="Times New Roman" w:eastAsia="Times New Roman" w:cs="Times New Roman"/>
          <w:sz w:val="24"/>
        </w:rPr>
        <w:t>A company may wish to delist and deregister its securities for a variety of reasons. A company may determine that the benefits of remaining a listed company and reporting under the Exchange Act are outweighed by its disadvantages. Complying with the reporting and other obligations of the Exchange Act and the continued listing obligations of a securities exchange is very costly, particularly for smaller companies. The enactment of the Sarbanes-Oxley Act of 2002 (SOX) and the Dodd-Frank Wall Street Reform and Consumer Protection Act of 2010 (Dodd-Frank) substantially increased the corporate governance and financial reporting obligations of public companies and, consequently, the legal and accounting compliance costs for public companies. A company will also likely wish to delist and deregister its securities following its acquisition by another company in a merger or other business combination transaction.</w:t>
      </w:r>
    </w:p>
    <w:p>
      <w:pPr/>
      <w:r>
        <w:rPr>
          <w:rFonts w:ascii="Times New Roman" w:hAnsi="Times New Roman" w:eastAsia="Times New Roman" w:cs="Times New Roman"/>
          <w:sz w:val="24"/>
        </w:rPr>
        <w:t>The process of voluntarily delisting securities from a national securities exchange and subsequently deregistering under the Exchange Act is referred to as "going dark." Going dark will typically result in termination of a company's reporting and other obligations under the Exchange Act. A company may also, if it satisfies the threshold requirements to do so, suspend its reporting obligations under Section 15(d) of the Exchange Act.</w:t>
      </w:r>
    </w:p>
    <w:p>
      <w:pPr/>
      <w:r>
        <w:rPr>
          <w:rFonts w:ascii="Times New Roman" w:hAnsi="Times New Roman" w:eastAsia="Times New Roman" w:cs="Times New Roman"/>
          <w:sz w:val="24"/>
        </w:rPr>
        <w:t>Incurring Reporting and Other Obligations Under the Exchange Act</w:t>
      </w:r>
      <w:r>
        <w:rPr>
          <w:rFonts w:ascii="Times New Roman" w:hAnsi="Times New Roman" w:eastAsia="Times New Roman" w:cs="Times New Roman"/>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t>To understand what "going dark" entails, it is necessary to first understand what triggers a company's reporting and other obligations under the Exchange Act. These may be incurred under:</w:t>
      </w:r>
    </w:p>
    <w:p>
      <w:pPr/>
      <w:r>
        <w:rPr>
          <w:rFonts w:ascii="Times New Roman" w:hAnsi="Times New Roman" w:eastAsia="Times New Roman" w:cs="Times New Roman"/>
          <w:sz w:val="24"/>
        </w:rPr>
        <w:t>Section 12(b), by listing a company's securities on a national securities exchange</w:t>
      </w:r>
    </w:p>
    <w:p>
      <w:pPr/>
      <w:r>
        <w:rPr>
          <w:rFonts w:ascii="Times New Roman" w:hAnsi="Times New Roman" w:eastAsia="Times New Roman" w:cs="Times New Roman"/>
          <w:sz w:val="24"/>
        </w:rPr>
        <w:t>Section 12(g), if the company has over 2,000 record holders (or 500 record holders who are not accredited investors) of a class of securities and assets exceeding $10 million on the last day of its fiscal year</w:t>
      </w:r>
    </w:p>
    <w:p>
      <w:pPr/>
      <w:r>
        <w:rPr>
          <w:rFonts w:ascii="Times New Roman" w:hAnsi="Times New Roman" w:eastAsia="Times New Roman" w:cs="Times New Roman"/>
          <w:sz w:val="24"/>
        </w:rPr>
        <w:t>Section 15(d), if a company has a registration statement declared effective under the Securities Act of 1933, as amended (Securities Act)</w:t>
      </w:r>
    </w:p>
    <w:p>
      <w:pPr/>
      <w:r>
        <w:rPr>
          <w:rFonts w:ascii="Times New Roman" w:hAnsi="Times New Roman" w:eastAsia="Times New Roman" w:cs="Times New Roman"/>
          <w:sz w:val="24"/>
        </w:rPr>
        <w:t>Section 12(b)</w:t>
      </w:r>
    </w:p>
    <w:p>
      <w:pPr/>
      <w:r>
        <w:rPr>
          <w:rFonts w:ascii="Times New Roman" w:hAnsi="Times New Roman" w:eastAsia="Times New Roman" w:cs="Times New Roman"/>
          <w:sz w:val="24"/>
        </w:rPr>
        <w:t xml:space="preserve">A company must file and have become effective a registration statement on Form 8-A or Form 10 under Section 12(b) of the Exchange Act to list a class of its equity or debt </w:t>
      </w:r>
      <w:r>
        <w:rPr>
          <w:rFonts w:ascii="Times New Roman" w:hAnsi="Times New Roman" w:eastAsia="Times New Roman" w:cs="Times New Roman"/>
          <w:sz w:val="24"/>
        </w:rPr>
        <w:t>securities on a national securities exchange. A company will continue to be subject to Exchange Act reporting and other obligations until it delists from the exchange and deregisters its securities under the Exchange Act, as discussed below. Exchange Act obligations include filing annual reports on Form 10-K, quarterly reports on Form 10-Q, and current reports on Form 8-K, as well as reporting insider beneficial ownership under Exchange Act Section 16 and complying with the proxy and tender offer rules of Section 14 of the Exchange Act. In addition, large shareholders must file beneficial ownership statements under Section 13(d) or 13(g) of the Exchange Act.</w:t>
      </w:r>
    </w:p>
    <w:p>
      <w:pPr/>
      <w:r>
        <w:rPr>
          <w:rFonts w:ascii="Times New Roman" w:hAnsi="Times New Roman" w:eastAsia="Times New Roman" w:cs="Times New Roman"/>
          <w:sz w:val="24"/>
        </w:rPr>
        <w:t>Section 12(g)</w:t>
      </w:r>
    </w:p>
    <w:p>
      <w:pPr/>
      <w:r>
        <w:rPr>
          <w:rFonts w:ascii="Times New Roman" w:hAnsi="Times New Roman" w:eastAsia="Times New Roman" w:cs="Times New Roman"/>
          <w:sz w:val="24"/>
        </w:rPr>
        <w:t xml:space="preserve">A company must register a class of equity securities (other than exempt securities) under Section 12(g) of the Exchange Act if the class is held of record by either (1) 2,000 persons or (2) 500 persons who are not accredited investors (excluding persons, in each case, who received securities </w:t>
      </w:r>
      <w:r>
        <w:rPr>
          <w:rFonts w:ascii="Times New Roman" w:hAnsi="Times New Roman" w:eastAsia="Times New Roman" w:cs="Times New Roman"/>
          <w:sz w:val="24"/>
        </w:rPr>
        <w:t>under</w:t>
      </w:r>
      <w:r>
        <w:rPr>
          <w:rFonts w:ascii="Times New Roman" w:hAnsi="Times New Roman" w:eastAsia="Times New Roman" w:cs="Times New Roman"/>
          <w:sz w:val="24"/>
        </w:rPr>
        <w:t xml:space="preserve"> an employee compensation plan in transactions exempt from registration under the Securities Act) and, in either case, its total assets exceeded $10 million, on the last day of the company's fiscal year A company may terminate its Section 12(g) registration if it falls below the record holder and, if applicable, asset, thresholds discussed below. Registration under Section 12(g) is also suspended if the company subsequently registers the securities under Section 12(b) in connection with an exchange listing.</w:t>
      </w:r>
    </w:p>
    <w:p>
      <w:pPr/>
      <w:r>
        <w:rPr>
          <w:rFonts w:ascii="Times New Roman" w:hAnsi="Times New Roman" w:eastAsia="Times New Roman" w:cs="Times New Roman"/>
          <w:sz w:val="24"/>
        </w:rPr>
        <w:t xml:space="preserve">Registration under Section 12(g) subjects the company to the same reporting and other obligations under the Exchange Act applicable to companies registered under Section 12(b), except for the stock exchange rules mandated by SOX </w:t>
      </w:r>
      <w:r>
        <w:rPr>
          <w:rFonts w:ascii="Times New Roman" w:hAnsi="Times New Roman" w:eastAsia="Times New Roman" w:cs="Times New Roman"/>
          <w:sz w:val="24"/>
        </w:rPr>
        <w:t>and</w:t>
      </w:r>
      <w:r>
        <w:rPr>
          <w:rFonts w:ascii="Times New Roman" w:hAnsi="Times New Roman" w:eastAsia="Times New Roman" w:cs="Times New Roman"/>
          <w:sz w:val="24"/>
        </w:rPr>
        <w:t xml:space="preserve"> Dodd-Frank that apply only to exchange-listed companies.</w:t>
      </w:r>
    </w:p>
    <w:p>
      <w:pPr/>
      <w:r>
        <w:rPr>
          <w:rFonts w:ascii="Times New Roman" w:hAnsi="Times New Roman" w:eastAsia="Times New Roman" w:cs="Times New Roman"/>
          <w:sz w:val="24"/>
        </w:rPr>
        <w:t>Section 15(d)</w:t>
      </w:r>
    </w:p>
    <w:p>
      <w:pPr/>
      <w:r>
        <w:rPr>
          <w:rFonts w:ascii="Times New Roman" w:hAnsi="Times New Roman" w:eastAsia="Times New Roman" w:cs="Times New Roman"/>
          <w:sz w:val="24"/>
        </w:rPr>
        <w:t>A company becomes subject to reporting obligations under Section 15(d) of the Exchange Act by having a Securities Act registration statement (for debt or equity securities), including the registration statement filed for its initial public offering, declared effective by the SEC. Under Section 15(d), a company must comply with the same periodic and current reporting requirements applicable to companies registered under Section 12 (i.e., Forms 10-K, 10-Q, and 8-K), but not with the obligations applicable to registered companies, including insider reporting under Section 16, large shareholder reporting under Section 13, and the proxy rules of Section 14. A company's reporting obligations under Section 15(d) are automatically suspended if it registers a class of securities under either Section 12(b) or 12(g).</w:t>
      </w:r>
    </w:p>
    <w:p>
      <w:pPr/>
      <w:r>
        <w:rPr>
          <w:rFonts w:ascii="Times New Roman" w:hAnsi="Times New Roman" w:eastAsia="Times New Roman" w:cs="Times New Roman"/>
          <w:sz w:val="24"/>
        </w:rPr>
        <w:t>Delisting and Deregistration</w:t>
      </w:r>
      <w:r>
        <w:rPr>
          <w:rFonts w:ascii="Times New Roman" w:hAnsi="Times New Roman" w:eastAsia="Times New Roman" w:cs="Times New Roman"/>
          <w:sz w:val="24"/>
        </w:rPr>
        <w:t>.</w:t>
      </w:r>
    </w:p>
    <w:p>
      <w:pPr/>
      <w:r>
        <w:rPr>
          <w:rFonts w:ascii="Times New Roman" w:hAnsi="Times New Roman" w:eastAsia="Times New Roman" w:cs="Times New Roman"/>
          <w:sz w:val="24"/>
        </w:rPr>
        <w:t>Section 12(b)</w:t>
      </w:r>
    </w:p>
    <w:p>
      <w:pPr/>
      <w:r>
        <w:rPr>
          <w:rFonts w:ascii="Times New Roman" w:hAnsi="Times New Roman" w:eastAsia="Times New Roman" w:cs="Times New Roman"/>
          <w:sz w:val="24"/>
        </w:rPr>
        <w:t xml:space="preserve">A company must file an application on Form 25 with the SEC to advise the SEC of the company's withdrawal of its securities from listing on a national securities exchange and its intention to withdraw its securities from registration under Section 12(b). The company must provide written notice to the national securities exchange on which its securities are listed of its intention to file Form 25 at least 10 days before filing the form and must contemporaneously issue (and post on its website) a press release providing notice of its intention to withdraw and its reasons for doing so. The company must also file a current </w:t>
      </w:r>
      <w:r>
        <w:rPr>
          <w:rFonts w:ascii="Times New Roman" w:hAnsi="Times New Roman" w:eastAsia="Times New Roman" w:cs="Times New Roman"/>
          <w:sz w:val="24"/>
        </w:rPr>
        <w:t>report on Form 8-K (Item 3.01(d)) with the SEC within four business days of the action by its board of directors to cause the company to delist and deregister its securities.</w:t>
      </w:r>
    </w:p>
    <w:p>
      <w:pPr/>
      <w:r>
        <w:rPr>
          <w:rFonts w:ascii="Times New Roman" w:hAnsi="Times New Roman" w:eastAsia="Times New Roman" w:cs="Times New Roman"/>
          <w:sz w:val="24"/>
        </w:rPr>
        <w:t>The company's securities will be removed from listing on the national securities exchange 10 days after the Form 25 is filed with the SEC, and the company's securities withdrawn from registration under the Exchange Act 90 days (or such shorter period as the SEC may determine) after the Form 25 is filed. If the company files an amended Form 25, the 10- and 90-day periods start anew from the date the amended form is filed.</w:t>
      </w:r>
    </w:p>
    <w:p>
      <w:pPr/>
      <w:r>
        <w:rPr>
          <w:rFonts w:ascii="Times New Roman" w:hAnsi="Times New Roman" w:eastAsia="Times New Roman" w:cs="Times New Roman"/>
          <w:sz w:val="24"/>
        </w:rPr>
        <w:t>The company's obligation to file periodic and current reports under Section 13(a) of the Exchange Act will be suspended on the effective date of its delisting from the national securities exchange (i.e., 10 days after filing its Form 25), and all its Exchange Act obligations will terminate on the date on which its registration under Section 12(b) is withdrawn (i.e., 90 days after filing the form or sooner if the SEC so determines). However, had the company registered a class of securities under Section 12(g) before registering under Section 12(b) or becomes subject to reporting under Section 15(d), delisting and deregistration under Section 12(b) will not complete the going dark process.</w:t>
      </w:r>
    </w:p>
    <w:p>
      <w:pPr/>
      <w:r>
        <w:rPr>
          <w:rFonts w:ascii="Times New Roman" w:hAnsi="Times New Roman" w:eastAsia="Times New Roman" w:cs="Times New Roman"/>
          <w:sz w:val="24"/>
        </w:rPr>
        <w:t>Section 12(g)</w:t>
      </w:r>
    </w:p>
    <w:p>
      <w:pPr/>
      <w:r>
        <w:rPr>
          <w:rFonts w:ascii="Times New Roman" w:hAnsi="Times New Roman" w:eastAsia="Times New Roman" w:cs="Times New Roman"/>
          <w:sz w:val="24"/>
        </w:rPr>
        <w:t>If a company registered a class of securities under Section 12(g) before registering under Section 12(b) (most likely to qualify its securities for quotation on Nasdaq before Nasdaq became a national securities exchange in 2006 or to become eligible for quotation in the over-the-counter market), that registration will be revived following deregistration under Section 12(b). Additionally, a class of securities that would have been required to be registered under Section 12(g) but for registration under Section 12(b) is deemed to be registered under Section 12(g) when its Section 12(b) registration is terminated. In either case, the company would remain subject to Exchange Act reporting and other obligations notwithstanding termination of its Section 12(b) registration. Additionally, a company may have registered under Section 12(g) to be quoted in the over-the-counter market without a subsequent Section 12(b) registration.</w:t>
      </w:r>
    </w:p>
    <w:p>
      <w:pPr/>
      <w:r>
        <w:rPr>
          <w:rFonts w:ascii="Times New Roman" w:hAnsi="Times New Roman" w:eastAsia="Times New Roman" w:cs="Times New Roman"/>
          <w:sz w:val="24"/>
        </w:rPr>
        <w:t>A company may withdraw its Section 12(g) registration by certifying, on a Form 15 filed with the SEC, that it has either (1) fewer than 300 record holders of the registered class of securities or (2) fewer than 500 record holders of the registered class and total company assets of not more than $10 million on the last day of each of its three most recent fiscal years. The company's Section 12(g) registration will terminate 90 days after the date the Form 15 is filed (or such shorter period as the SEC may determine), but its obligation to file periodic and current reports under Section 13(a) will be suspended on the date the Form 15 is filed, subject to any reactivated reporting obligation under Section 15(d) (as discussed below).</w:t>
      </w:r>
    </w:p>
    <w:p>
      <w:pPr/>
      <w:r>
        <w:rPr>
          <w:rFonts w:ascii="Times New Roman" w:hAnsi="Times New Roman" w:eastAsia="Times New Roman" w:cs="Times New Roman"/>
          <w:sz w:val="24"/>
        </w:rPr>
        <w:t>Section 15(d)</w:t>
      </w:r>
    </w:p>
    <w:p>
      <w:pPr/>
      <w:r>
        <w:rPr>
          <w:rFonts w:ascii="Times New Roman" w:hAnsi="Times New Roman" w:eastAsia="Times New Roman" w:cs="Times New Roman"/>
          <w:sz w:val="24"/>
        </w:rPr>
        <w:t>As discussed above, a company that has had a registration statement become effective under the Securities Act becomes subject to the periodic and current reporting requirements of the Exchange Act. The Section 15(d) obligation is suspended when the company's securities are registered under either Section 12(b) or 12(g). Following deregistration under Section 12, the Section 15(d) obligation is reactivated but may be suspended (but not terminated):</w:t>
      </w:r>
    </w:p>
    <w:p>
      <w:pPr/>
      <w:r>
        <w:rPr>
          <w:rFonts w:ascii="Times New Roman" w:hAnsi="Times New Roman" w:eastAsia="Times New Roman" w:cs="Times New Roman"/>
          <w:sz w:val="24"/>
        </w:rPr>
        <w:t>Automatically, if the class of securities is held by less than 300 record holders as of the first day (and only on that day) of any fiscal year</w:t>
      </w:r>
      <w:r>
        <w:rPr>
          <w:rFonts w:ascii="Times New Roman" w:hAnsi="Times New Roman" w:eastAsia="Times New Roman" w:cs="Times New Roman"/>
          <w:sz w:val="24"/>
        </w:rPr>
        <w:t xml:space="preserve"> –or–</w:t>
      </w:r>
    </w:p>
    <w:p>
      <w:pPr/>
      <w:r>
        <w:rPr>
          <w:rFonts w:ascii="Times New Roman" w:hAnsi="Times New Roman" w:eastAsia="Times New Roman" w:cs="Times New Roman"/>
          <w:sz w:val="24"/>
        </w:rPr>
        <w:t>If the class of securities is held by fewer than 300 record holders, or by fewer than 500 record holders and the company's assets do not exceed $10 million at the end of each of the last three fiscal years, and the company files a Form 15 with the SEC (which may be the same Form 15 filed to terminate the company's Section 12(g) registration)</w:t>
      </w:r>
    </w:p>
    <w:p>
      <w:pPr/>
      <w:r>
        <w:rPr>
          <w:rFonts w:ascii="Times New Roman" w:hAnsi="Times New Roman" w:eastAsia="Times New Roman" w:cs="Times New Roman"/>
          <w:sz w:val="24"/>
        </w:rPr>
        <w:t>A company's whose Section 15(d) obligation is automatically suspended on the first day of its fiscal year should nonetheless file a Form 15 with the SEC, although the suspension is not contingent on filing the Form 15.</w:t>
      </w:r>
    </w:p>
    <w:p>
      <w:pPr/>
      <w:r>
        <w:rPr>
          <w:rFonts w:ascii="Times New Roman" w:hAnsi="Times New Roman" w:eastAsia="Times New Roman" w:cs="Times New Roman"/>
          <w:sz w:val="24"/>
        </w:rPr>
        <w:t>The Section 15(d) reporting obligation is suspended, and not terminated, and may be reactivated if the company no longer satisfies the conditions under which it was eligible to suspend reporting. A company should thus continue to monitor the number of record holders of its securities to determine whether its reporting obligation under Section 15(d) has been reactivated.</w:t>
      </w:r>
    </w:p>
    <w:p>
      <w:pPr/>
      <w:r>
        <w:rPr>
          <w:rFonts w:ascii="Times New Roman" w:hAnsi="Times New Roman" w:eastAsia="Times New Roman" w:cs="Times New Roman"/>
          <w:sz w:val="24"/>
        </w:rPr>
        <w:t>Delisting to the Over-the-Counter Market</w:t>
      </w:r>
      <w:r>
        <w:rPr>
          <w:rFonts w:ascii="Times New Roman" w:hAnsi="Times New Roman" w:eastAsia="Times New Roman" w:cs="Times New Roman"/>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t>After a company delists and deregisters its shares, the shares will generally continue to be traded on a tier of the over-the-counter market, which includes the OTC Markets</w:t>
      </w:r>
      <w:r>
        <w:rPr>
          <w:rFonts w:ascii="Times New Roman" w:hAnsi="Times New Roman" w:eastAsia="Times New Roman" w:cs="Times New Roman"/>
          <w:sz w:val="24"/>
        </w:rPr>
        <w:t xml:space="preserve">. </w:t>
      </w:r>
      <w:r>
        <w:rPr>
          <w:rFonts w:ascii="Times New Roman" w:hAnsi="Times New Roman" w:eastAsia="Times New Roman" w:cs="Times New Roman"/>
          <w:sz w:val="24"/>
        </w:rPr>
        <w:t>Exactly where the shares will trade will depend on how much current information the company provide</w:t>
      </w:r>
      <w:r>
        <w:rPr>
          <w:rFonts w:ascii="Times New Roman" w:hAnsi="Times New Roman" w:eastAsia="Times New Roman" w:cs="Times New Roman"/>
          <w:sz w:val="24"/>
        </w:rPr>
        <w:t>s</w:t>
      </w:r>
      <w:r>
        <w:rPr>
          <w:rFonts w:ascii="Times New Roman" w:hAnsi="Times New Roman" w:eastAsia="Times New Roman" w:cs="Times New Roman"/>
          <w:sz w:val="24"/>
        </w:rPr>
        <w:t xml:space="preserve"> to investors and the corporate governance standards it elects to comply with. A company that delists it securities may still voluntarily continue to provide its investors with current information for other reasons, for example, to satisfy the current public information requirement of Rule 144(c) under the Securities Act.</w:t>
      </w:r>
    </w:p>
    <w:p>
      <w:pPr/>
      <w:r>
        <w:rPr>
          <w:rFonts w:ascii="Times New Roman" w:hAnsi="Times New Roman" w:eastAsia="Times New Roman" w:cs="Times New Roman"/>
          <w:sz w:val="24"/>
        </w:rPr>
        <w:t>Delisting from a national securities exchange to the over-the-counter market typically results in declining prices for a company's stock. Absent SEC oversight and the greatly reduced level of public information available about the company, potential investors will generally be more cautious about investing in the company.</w:t>
      </w:r>
    </w:p>
    <w:p>
      <w:pPr/>
      <w:r>
        <w:rPr>
          <w:rFonts w:ascii="Times New Roman" w:hAnsi="Times New Roman" w:eastAsia="Times New Roman" w:cs="Times New Roman"/>
          <w:sz w:val="24"/>
        </w:rPr>
        <w:t>Conclusion</w:t>
      </w:r>
      <w:r>
        <w:rPr>
          <w:rFonts w:ascii="Times New Roman" w:hAnsi="Times New Roman" w:eastAsia="Times New Roman" w:cs="Times New Roman"/>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t>There are advantages and disadvantages of delisting the Company's securities from a national securities exchange and withdrawing its securities from registration under the Exchange Act. The board of directors should make this decision after careful consideration of all relevant factors and discussion with securities counsel.</w:t>
      </w:r>
    </w:p>
    <w:p>
      <w:pPr/>
      <w:r>
        <w:rPr>
          <w:rFonts w:ascii="Times New Roman" w:hAnsi="Times New Roman" w:eastAsia="Times New Roman" w:cs="Times New Roman"/>
          <w:sz w:val="24"/>
        </w:rPr>
        <w:t>For further information and questions, please contact [contact name and Information].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