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Memorandum to the Board of Directors and/or Senior Management on Delisting and Deregistration under the Exchange Act</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sz w:val="24"/>
        </w:rPr>
        <w:t>To:</w:t>
      </w:r>
      <w:r>
        <w:rPr>
          <w:rFonts w:ascii="Times New Roman" w:hAnsi="Times New Roman" w:eastAsia="Times New Roman" w:cs="Times New Roman"/>
          <w:b w:val="0"/>
          <w:sz w:val="24"/>
        </w:rPr>
        <w:t xml:space="preserve"> The Board of Directors and Senior Management of [name of company] (Company)</w:t>
      </w:r>
    </w:p>
    <w:p>
      <w:pPr>
        <w:keepNext w:val="0"/>
        <w:spacing w:before="200" w:after="0" w:line="260" w:lineRule="exact"/>
        <w:ind w:left="360" w:right="0" w:firstLine="0"/>
        <w:jc w:val="both"/>
      </w:pPr>
      <w:r>
        <w:rPr>
          <w:rFonts w:ascii="Times New Roman" w:hAnsi="Times New Roman" w:eastAsia="Times New Roman" w:cs="Times New Roman"/>
          <w:b/>
          <w:sz w:val="24"/>
        </w:rPr>
        <w:t>From:</w:t>
      </w:r>
      <w:r>
        <w:rPr>
          <w:rFonts w:ascii="Times New Roman" w:hAnsi="Times New Roman" w:eastAsia="Times New Roman" w:cs="Times New Roman"/>
          <w:b w:val="0"/>
          <w:sz w:val="24"/>
        </w:rPr>
        <w:t xml:space="preserve"> [name of counsel]</w:t>
      </w:r>
    </w:p>
    <w:p>
      <w:pPr>
        <w:keepNext w:val="0"/>
        <w:spacing w:before="200" w:after="0" w:line="260" w:lineRule="exact"/>
        <w:ind w:left="360" w:right="0" w:firstLine="0"/>
        <w:jc w:val="both"/>
      </w:pPr>
      <w:r>
        <w:rPr>
          <w:rFonts w:ascii="Times New Roman" w:hAnsi="Times New Roman" w:eastAsia="Times New Roman" w:cs="Times New Roman"/>
          <w:b/>
          <w:sz w:val="24"/>
        </w:rPr>
        <w:t>Date:</w:t>
      </w:r>
      <w:r>
        <w:rPr>
          <w:rFonts w:ascii="Times New Roman" w:hAnsi="Times New Roman" w:eastAsia="Times New Roman" w:cs="Times New Roman"/>
          <w:b w:val="0"/>
          <w:sz w:val="24"/>
        </w:rPr>
        <w:t xml:space="preserve"> [date]</w:t>
      </w:r>
    </w:p>
    <w:p>
      <w:pPr>
        <w:keepNext w:val="0"/>
        <w:spacing w:before="200" w:after="0" w:line="260" w:lineRule="exact"/>
        <w:ind w:left="360" w:right="0" w:firstLine="0"/>
        <w:jc w:val="both"/>
      </w:pPr>
      <w:r>
        <w:rPr>
          <w:rFonts w:ascii="Times New Roman" w:hAnsi="Times New Roman" w:eastAsia="Times New Roman" w:cs="Times New Roman"/>
          <w:b/>
          <w:sz w:val="24"/>
        </w:rPr>
        <w:t>Re:</w:t>
      </w:r>
      <w:r>
        <w:rPr>
          <w:rFonts w:ascii="Times New Roman" w:hAnsi="Times New Roman" w:eastAsia="Times New Roman" w:cs="Times New Roman"/>
          <w:b w:val="0"/>
          <w:sz w:val="24"/>
        </w:rPr>
        <w:t xml:space="preserve"> Delisting and Deregistration Under the Securities Exchange Act of 1934</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Introduction.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Company's securities are currently listed on the [name of national securities exchange], and the Company is subject to the reporting and other requirements of the Securities Exchange Act of 1934, as amended (Exchange Act). For various reasons, the Company may desire to terminate its listing on the [name of national securities exchange] and withdraw the registration of its securities under the Exchange Act.</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may wish to delist and deregister its securities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variety of reasons.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may determine that the benefits of remaining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listed company and reporting under the Exchange Act are outweighed by its disadvantages. Complying with the reporting and other obligations of the Exchange Act and the continued listing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securities exchange is very costly, particularly for smaller companies. The enactment of the Sarbanes-Oxley Act of 2002 (SOX) and the Dodd-Frank Wall Street Reform and Consumer Protection Act of 2010 (Dodd-Frank) substantially increased the corporate governance and financial reporting obligations of public companies and, consequently, the legal and accounting compliance costs for public companies.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will also likely wish to delist and deregister its securities following its acquisition by another company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or other business combination transaction or otherwise becoming privately held.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process of voluntarily delisting securities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and subsequently deregistering under the Exchange Act is referred to as "going dark." Going dark will typically result in termination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reporting and other obligations under the Exchange Act.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may also, if it satisfies the threshold requirements to do so, suspend its reporting obligations under Section 15(d) of the Exchange Act.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Incurring Reporting and Other Obligations Under the Exchange Act.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To understand what "going dark" entails, it is necessary to first understand what triggers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reporting and other obligations under the Exchange Act. These may be incurred under: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12(b), by listing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securities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12(g), if the company has over 2,000 record holders (or 500 record holders who are not accredited investors)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securities and assets exceeding $10 million on the last day of its 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15(d),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declared effective under the Securities Act of 1933, as amended (Securities Act)</w:t>
      </w:r>
    </w:p>
    <w:p>
      <w:pPr>
        <w:keepNext w:val="0"/>
        <w:spacing w:before="120" w:after="0" w:line="260" w:lineRule="exact"/>
        <w:ind w:left="1080" w:right="0" w:firstLine="0"/>
        <w:jc w:val="left"/>
      </w:pPr>
      <w:r>
        <w:rPr>
          <w:rFonts w:ascii="Times New Roman" w:hAnsi="Times New Roman" w:eastAsia="Times New Roman" w:cs="Times New Roman"/>
          <w:b/>
          <w:sz w:val="24"/>
        </w:rPr>
        <w:t>Section 12(b)</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must file and have become effective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on Form 8-</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Form 10 under Section 12(b) of the Exchange Act to list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its equity or debt securities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will continue to be subject to Exchange Act reporting and other obligations until it delists from the exchange and deregisters its securities under the Exchange Act, as discussed below. Exchange Act obligations include filing annual reports on Form 10-K, quarterly reports on Form 10-Q, and current reports on Form 8-K, as well as reporting insider beneficial ownership under Exchange Act Section 16 and complying with the proxy and tender offer rules of Section 14 of the Exchange Act. In addition, large shareholders must file beneficial ownership statements under Section 13(d) or 13(g) of the Exchange Act.</w:t>
      </w:r>
    </w:p>
    <w:p>
      <w:pPr>
        <w:keepNext w:val="0"/>
        <w:spacing w:before="120" w:after="0" w:line="260" w:lineRule="exact"/>
        <w:ind w:left="1080" w:right="0" w:firstLine="0"/>
        <w:jc w:val="left"/>
      </w:pPr>
      <w:r>
        <w:rPr>
          <w:rFonts w:ascii="Times New Roman" w:hAnsi="Times New Roman" w:eastAsia="Times New Roman" w:cs="Times New Roman"/>
          <w:b/>
          <w:sz w:val="24"/>
        </w:rPr>
        <w:t>Section 12(g)</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must register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equity securities (other than exempt securities) under Section 12(g) of the Exchange Act if the class is held of record by either (1) 2,000 persons or (2) 500 persons who are not accredited investors (excluding persons, in each case, who received securities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compensation plan in transactions exempt from registration under the Securities Act) and, in either case, its total assets exceeded $10 million, on the last day of the company's fiscal year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may terminate its Section 12(g) registration if it falls below the record holder and, if applicable, asset, thresholds discussed below. Registration under Section 12(g) is also suspended if the company subsequently registers the securities under Section 12(b) in connection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listing.</w:t>
      </w:r>
    </w:p>
    <w:p>
      <w:pPr>
        <w:keepNext w:val="0"/>
        <w:spacing w:before="200" w:after="0" w:line="260" w:lineRule="exact"/>
        <w:ind w:left="1440" w:right="0" w:firstLine="0"/>
        <w:jc w:val="both"/>
      </w:pPr>
      <w:r>
        <w:rPr>
          <w:rFonts w:ascii="Times New Roman" w:hAnsi="Times New Roman" w:eastAsia="Times New Roman" w:cs="Times New Roman"/>
          <w:b w:val="0"/>
          <w:sz w:val="24"/>
        </w:rPr>
        <w:t>Registration under Section 12(g) subjects the company to the same reporting and other obligations under the Exchange Act applicable to companies registered under Section 12(b), except for the stock exchange rules mandated by SOX and Dodd-Frank that apply only to exchange-listed companies.</w:t>
      </w:r>
    </w:p>
    <w:p>
      <w:pPr>
        <w:keepNext w:val="0"/>
        <w:spacing w:before="120" w:after="0" w:line="260" w:lineRule="exact"/>
        <w:ind w:left="1080" w:right="0" w:firstLine="0"/>
        <w:jc w:val="left"/>
      </w:pPr>
      <w:r>
        <w:rPr>
          <w:rFonts w:ascii="Times New Roman" w:hAnsi="Times New Roman" w:eastAsia="Times New Roman" w:cs="Times New Roman"/>
          <w:b/>
          <w:sz w:val="24"/>
        </w:rPr>
        <w:t>Section 15(d)</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becomes subject to reporting obligations under Section 15(d) of the Exchange Act by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Securities Act registration statement (for debt or equity securities), including the registration statement filed for its initial public offering, declared effective by the SEC. Under Section 15(d),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must comply with the same periodic and current reporting requirements applicable to companies registered under Section 12 (i.e., Forms 10-K, 10-Q, and 8-K), but not with the obligations applicable to registered companies, including insider reporting under Section 16, large shareholder reporting under Section 13, and the proxy rules of Section 14.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reporting obligations under Section 15(d) are automatically suspended if it registers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securities under either Section 12(b) or 12(g).</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Delisting and Deregistration.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sz w:val="24"/>
        </w:rPr>
        <w:t>Section 12(b)</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must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on Form 25 with the SEC to advise the SEC of the company's withdrawal of its securities from listing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and its intention to withdraw its securities from registration under Section 12(b). The company must provide written notice to the national securities exchange on which its securities are listed of its intention to file Form 25 at least 10 days before filing the form and must contemporaneously issue (and post on its website)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press release providing notice of its intention to withdraw and its reasons for doing so. The company must also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 (Item 3.01(d)) with the SEC within four business days of the action by its board of directors to cause the company to delist and deregister its securities.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company's securities will be removed from listing on the national securities exchange 10 days after the Form 25 is filed with the SEC, and the company's securities withdrawn from registration under the Exchange Act 90 days (or such shorter period as the SEC may determine) after the Form 25 is filed. If the company files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amended Form 25, the 10- and 90-day periods start anew from the date the amended form is filed.</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company's obligation to file periodic and current reports under Section 13(</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Exchange Act will be suspended on the effective date of its delisting from the national securities exchange (i.e., 10 days after filing its Form 25), and all its Exchange Act obligations will terminate on the date on which its registration under Section 12(b) is withdrawn (i.e., 90 days after filing the form or sooner if the SEC so determines). However, had the company registered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securities under Section 12(g) before registering under Section 12(b) or becomes subject to reporting under Section 15(d), delisting and deregistration under Section 12(b) will not complete the going dark process.</w:t>
      </w:r>
    </w:p>
    <w:p>
      <w:pPr>
        <w:keepNext w:val="0"/>
        <w:spacing w:before="120" w:after="0" w:line="260" w:lineRule="exact"/>
        <w:ind w:left="1080" w:right="0" w:firstLine="0"/>
        <w:jc w:val="left"/>
      </w:pPr>
      <w:r>
        <w:rPr>
          <w:rFonts w:ascii="Times New Roman" w:hAnsi="Times New Roman" w:eastAsia="Times New Roman" w:cs="Times New Roman"/>
          <w:b/>
          <w:sz w:val="24"/>
        </w:rPr>
        <w:t>Section 12(g)</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registered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securities under Section 12(g) before registering under Section 12(b) (most likely to qualify its securities for quotation on Nasdaq before Nasdaq became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in 2006 or to become eligible for quotation in the over-the-counter market), that registration will be revived following deregistration under Section 12(b). Additionally,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securities that would have been required to be registered under Section 12(g) but for registration under Section 12(b) is deemed to be registered under Section 12(g) when its Section 12(b) registration is terminated. In either case, the company would remain subject to Exchange Act reporting and other obligations notwithstanding termination of its Section 12(b) registration. Additionally,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may have registered under Section 12(g) to be quoted in the over-the-counter market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Section 12(b) registration.</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may withdraw its Section 12(g) registration by certifying,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15 filed with the SEC, that it has either (1) fewer than 300 record holders of the registered class of securities or (2) fewer than 500 record holders of the registered class and total company assets of not more than $10 million on the last day of each of its three most recent fiscal years. The company's Section 12(g) registration will terminate 90 days after the date the Form 15 is filed (or such shorter period as the SEC may determine), but its obligation to file periodic and current reports under Section 13(</w:t>
      </w:r>
      <w:r>
        <w:rPr>
          <w:rFonts w:ascii="Times New Roman" w:hAnsi="Times New Roman" w:eastAsia="Times New Roman" w:cs="Times New Roman"/>
          <w:b/>
          <w:sz w:val="24"/>
        </w:rPr>
        <w:t>a</w:t>
      </w:r>
      <w:r>
        <w:rPr>
          <w:rFonts w:ascii="Times New Roman" w:hAnsi="Times New Roman" w:eastAsia="Times New Roman" w:cs="Times New Roman"/>
          <w:b w:val="0"/>
          <w:sz w:val="24"/>
        </w:rPr>
        <w:t>) will be suspended on the date the Form 15 is filed, subject to any reactivated reporting obligation under Section 15(d) (as discussed below).</w:t>
      </w:r>
    </w:p>
    <w:p>
      <w:pPr>
        <w:keepNext w:val="0"/>
        <w:spacing w:before="120" w:after="0" w:line="260" w:lineRule="exact"/>
        <w:ind w:left="1080" w:right="0" w:firstLine="0"/>
        <w:jc w:val="left"/>
      </w:pPr>
      <w:r>
        <w:rPr>
          <w:rFonts w:ascii="Times New Roman" w:hAnsi="Times New Roman" w:eastAsia="Times New Roman" w:cs="Times New Roman"/>
          <w:b/>
          <w:sz w:val="24"/>
        </w:rPr>
        <w:t>Section 15(d)</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discussed above,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has had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become effective under the Securities Act becomes subject to the periodic and current reporting requirements of the Exchange Act. The Section 15(d) obligation is suspended when the company's securities are registered under either Section 12(b) or 12(g). Following deregistration under Section 12, the Section 15(d) obligation is reactivated but may be suspended (but not terminated):</w:t>
      </w:r>
    </w:p>
    <w:p>
      <w:pPr>
        <w:keepNext w:val="0"/>
        <w:spacing w:before="200" w:after="0" w:line="260" w:lineRule="exact"/>
        <w:ind w:left="1800" w:right="0" w:firstLine="0"/>
        <w:jc w:val="both"/>
      </w:pPr>
      <w:r>
        <w:rPr>
          <w:rFonts w:ascii="Times New Roman" w:hAnsi="Times New Roman" w:eastAsia="Times New Roman" w:cs="Times New Roman"/>
          <w:b w:val="0"/>
          <w:sz w:val="24"/>
        </w:rPr>
        <w:t>• Automatically, if the class of securities is held by less than 300 record holders as of the first day (and only on that day) of any fiscal year –or–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class of securities is held by fewer than 300 record holders, or by fewer than 500 record holders and the company's assets do not exceed $10 million at the end of each of the last three fiscal years, and the company files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15 with the SEC (which may be the same Form 15 filed to terminate the company's Section 12(g) registration)</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whose Section 15(d) obligation is automatically suspended on the first day of its fiscal year should nonetheless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15 with the SEC, although the suspension is not contingent on filing the Form 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Section 15(d) reporting obligation is suspended, and not terminated, and may be reactivated if the company no longer satisfies the conditions under which it was eligible to suspend reporting.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should thus continue to monitor the number of record holders of its securities to determine whether its reporting obligation under Section 15(d) has been reactivated.</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Delisting to the Over-the-Counter Market.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After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delists and deregisters its shares, the shares will generally continue to be traded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tier of the over-the-counter market, which includes the OTC Markets. Exactly where the shares will trade will depend on how much current information the company provides to investors and the corporate governance standards it elects to comply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that delists it securities may still voluntarily continue to provide its investors with current information for other reasons, for example, to satisfy the current public information requirement of Rule 144(c) under the Securities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Delisting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to the over-the-counter market typically results in declining prices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company's stock. Absent SEC oversight and the greatly reduced level of public information available about the company, potential investors will generally be more cautious about investing in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Conclusion.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There are advantages and disadvantages of delisting the Company's securities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national securities exchange and withdrawing its securities from registration under the Exchange Act. The board of directors should make this decision after careful consideration of all relevant factors and discussion with securities counsel.</w:t>
      </w:r>
    </w:p>
    <w:p>
      <w:pPr>
        <w:keepNext w:val="0"/>
        <w:spacing w:before="200" w:after="0" w:line="260" w:lineRule="exact"/>
        <w:ind w:left="1080" w:right="0" w:firstLine="0"/>
        <w:jc w:val="both"/>
      </w:pPr>
      <w:r>
        <w:rPr>
          <w:rFonts w:ascii="Times New Roman" w:hAnsi="Times New Roman" w:eastAsia="Times New Roman" w:cs="Times New Roman"/>
          <w:b w:val="0"/>
          <w:sz w:val="24"/>
        </w:rPr>
        <w:t>For further information and questions, please contact [contact name and Information].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