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MISSISSIPPI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Mississippi,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xml:space="preserve">: $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14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(SECOND VIOLATION)</w:t>
      </w:r>
      <w:r>
        <w:rPr>
          <w:rFonts w:ascii="Times New Roman" w:hAnsi="Times New Roman" w:eastAsia="Times New Roman" w:cs="Times New Roman"/>
          <w:sz w:val="24"/>
        </w:rPr>
        <w:t xml:space="preserve">. The following conduct or condition is in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The same or a substantially similar violation of the lease occurred within the previous six months. Unless you are able to show that the violation occurred despite the exercise of due care, the Landlord may terminate the Lease within 14 days of receipt of this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