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MISSOURI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Missouri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Missouri is thirty (30) days.</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Before, at the time of the Tenant accepting possession, or shortly thereafter, the Landlord and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Agree to inspect the Premises and write any present damages or needed repairs on a move-in checklist.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inspect the Premises or complete a move-in checklist.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XLVIII. GOVERNING LAW</w:t>
      </w:r>
      <w:r>
        <w:rPr>
          <w:rFonts w:ascii="Times New Roman" w:hAnsi="Times New Roman" w:eastAsia="Times New Roman" w:cs="Times New Roman"/>
          <w:sz w:val="24"/>
        </w:rPr>
        <w:t>. This Agreement is to be governed under the laws located in the State of Missouri.</w:t>
      </w:r>
    </w:p>
    <w:p>
      <w:pPr/>
    </w:p>
    <w:p>
      <w:pPr/>
      <w:r>
        <w:rPr>
          <w:rFonts w:ascii="Times New Roman" w:hAnsi="Times New Roman" w:eastAsia="Times New Roman" w:cs="Times New Roman"/>
          <w:b/>
          <w:sz w:val="24"/>
        </w:rPr>
        <w:t>XLIX.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