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MORTGAGE NOTE</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$[principal amount of the mortgage note]</w:t>
      </w:r>
    </w:p>
    <w:p>
      <w:pPr>
        <w:keepNext w:val="0"/>
        <w:spacing w:before="200" w:after="0" w:line="260" w:lineRule="exact"/>
        <w:ind w:left="360" w:right="0" w:firstLine="0"/>
        <w:jc w:val="both"/>
      </w:pPr>
      <w:r>
        <w:rPr>
          <w:rFonts w:ascii="Times New Roman" w:hAnsi="Times New Roman" w:eastAsia="Times New Roman" w:cs="Times New Roman"/>
          <w:b w:val="0"/>
          <w:sz w:val="24"/>
        </w:rPr>
        <w:t>As of [effective date of mortgage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mortgage note in numbers]) (or the unpaid balance of all principal advanced against this Mortgage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w:t>
      </w:r>
      <w:r>
        <w:rPr>
          <w:rFonts w:ascii="Times New Roman" w:hAnsi="Times New Roman" w:eastAsia="Times New Roman" w:cs="Times New Roman"/>
          <w:b/>
          <w:sz w:val="24"/>
        </w:rPr>
        <w:t>Commitment Amount</w:t>
      </w:r>
      <w:r>
        <w:rPr>
          <w:rFonts w:ascii="Times New Roman" w:hAnsi="Times New Roman" w:eastAsia="Times New Roman" w:cs="Times New Roman"/>
          <w:b w:val="0"/>
          <w:sz w:val="24"/>
        </w:rPr>
        <w: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satisfactory to Lender in all respects, and be obtained at the sole reason</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(i), (ii), or (iii) above would be less than the Floor, the Benchmark Replacement will be deemed to be the Floor for the purposes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clauses (i) and (ii) of the definition of "Benchmark Replacement," the first alternative set forth in the order below that can be determined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 (iii)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irrevocably designates and appoints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Note and its validity, enforcement, and interpretation shall be governed by the laws of the State of Illinois (without regard to any principles of conflicts of laws) and applicable United States federal law.</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ILLINOIS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