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Motion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[MOVING PARTY DESIGNATION, E.G., DEFENDANT] [PARTY NAME]'S MOTION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[RELIEF SOUGHT, E.G., "FOR SUMMARY JUDGMENT"]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[Moving party designation, e.g., Defendant] [party name], by and through [his/her/its] attorneys, under [legal basis for motion, such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statute], and for its [full name of motion], states as follows: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STATEMENT OF FACTS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[Relevant facts that support your legal claim for relief in successive paragraphs.]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[Continue with relevant facts that support your legal claim for relief in successive paragraphs.]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ARGUMENT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[Introduce the applicable law in successive paragraphs, e.g., "Under Fla. R. Civ. P. 1.510,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party is entitled to summary judgment where . . ."]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[Provide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overview of why the court should grant your relief. This section may look much like the preliminary statement, with each argument separately identified.]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[Apply the applicable law to the facts presented in successive paragraphs, incorporating any case law or other authority that supports your claim for relief.]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[Continue to apply the applicable law to the facts presented in successive paragraphs, incorporating any case law or other authority that supports your claim for relief.]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CONCLUSION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the foregoing reasons, [moving party designation, e.g., Defendant] [party name] respectfully requests that this Court [grant specific relief sought, such as "dismiss Plaintiff's Complaint under Fla. R. Civ. P. 1.140(b)(6)], and grant any such other relief as the Court deems just and proper.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Florida Bar No.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Primary Email: [Email]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Secondary Email: [Email]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[Party]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EXHIBIT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[NUMBER OR LETTER].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