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for Allowance and Payment of Section 503(b)(9) Claim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MOTION FOR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ALLOWING AND COMPELLING PAYMENT OF ADMINISTRATIVE EXPENSE CLAIM PURSUANT TO 11 U.S.C. § 503(B)(9)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[Creditor name] ("Creditor"), by and through its undersigned counsel, hereby files this motion (the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 allowing Creditor's administrative expense claim pursuant to 11 U.S.C. § 503(b)(9), and (ii) compelling the immediate payment of the administrative expense claim, and in support hereof Creditor, respectfully states as follows:</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[petition date] (the "Petition Date"), the above-captioned debtor[s] [and debtors in possession] (collectively,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petition[s] for relief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Debtors ordered goods from Creditor in the ordinary course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20 days immediately before the Petition Date, Debtor(s) received certain goods (the "Goods") that Creditor sold to Debtors which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value of [monetary value of goods].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invoices for the Goods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Creditor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priority in the total amount of [monetary value of goods] for the value of the Goods that were received by Debtors within 20 days before the Petition Date (the "Administrative Expense Claim").</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Creditor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 503(b)(9) of the Bankruptcy Code allowing and compelling immediate payment of its Administrative Expense Claim.</w:t>
      </w:r>
    </w:p>
    <w:p>
      <w:pPr>
        <w:keepNext w:val="0"/>
        <w:spacing w:before="120" w:after="0" w:line="260" w:lineRule="exact"/>
        <w:ind w:left="72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Creditor Should be Granted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Allowed Administrative Expense Claim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503(b)(9) of the Bankruptcy Code provides, in pertinent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there shall be allowed, administrative expenses . . . [for] the value of any goods received by the debtor within 20 days before the date of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under this title in which the goods have been sold to the debtor in the ordinary course of such debtor's business." 11 U.S.C. § 503(b)(1)(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Thus, creditors are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allowed administrative expense claim under Section 503(b)(9) upon establishing that: (1) the creditor sold goods to the debtor, (2) the goods were received by the debtor within twenty days prior to the bankruptcy filing, and (3) the goods were sold to the debtor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Creditor sold the Goods to Debtors in the ordinary course of business. As set forth above and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Goods were received by Debtors within twenty days of the Petition Date. Accordingly, Creditor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allowed administrative expense claim under Section 503(b)(9)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Debtors Should be Compelled to Make Immediate Payment of the Administrative Expense Claim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have discretion to order debtors to immediately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allowed administrative expense claim. In re The Korea Chosun Daily Times, 337 B.R. 773, 784 (Bankr. E.D.N.Y. 2005) ("[t]he question of whether administrative expenses should be paid sooner than the effective date of the plan is committed to the sound discretion of the bankruptcy court"). Courts consider several factors in deciding on whether to grant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including the prejudice to the debtor, hardship on the creditor and potential determent to other creditors. In re Garden Ridge Corp., 323 B.R. 136, 143 (Bankr. D. Del. 2005).</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immediate payment of the Administrative Expense Claim would also not prejudice or be detrimental to other claimants. [Facts supporting argument]. By contrast, Creditor would endure unnecessary hardship if payment of the Administrative Expense Claim is delayed. [Facts supporting argument].</w:t>
      </w:r>
    </w:p>
    <w:p>
      <w:pPr>
        <w:keepNext w:val="0"/>
        <w:spacing w:before="120" w:after="0" w:line="260" w:lineRule="exact"/>
        <w:ind w:left="720" w:right="0" w:firstLine="0"/>
        <w:jc w:val="left"/>
      </w:pP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Creditor expressly reserves its right to amend and/or supplement this Motion as otherwise appropriate, to assert other administrative expenses or post-petition claims.</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Creditor respectfully requests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B, (i) allowing the Administrative Expense Claim; (ii) compelling the immediate payment of the Administrative Expense Claim; and (iii) granting such other and further relief as the Court deems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Dated: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motion]</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motion]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 or Summary of the Invoices, Delivery Dates, and Value of the Goods]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Order</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72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720" w:right="0" w:firstLine="0"/>
        <w:jc w:val="left"/>
      </w:pPr>
      <w:r>
        <w:rPr>
          <w:rFonts w:ascii="Times New Roman" w:hAnsi="Times New Roman" w:eastAsia="Times New Roman" w:cs="Times New Roman"/>
          <w:b/>
          <w:sz w:val="24"/>
        </w:rPr>
        <w:t>ORDER APPROVING CREDITOR'S MOTION FOR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ALLOWING AND COMPELLING PAYMENT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ADMINISTRATIVE EXPENSE CLAIM PURSUANT TO 11 U.S.C. § 503(B)(9)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motion, dated [motion date] (the "Motion"), of [Creditor name] ("Creditor"),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allowing and compelling payment of administrative expense claim pursuant to 11 U.S.C. § 503(b)(9), as more fully described in the Motion; and the Court having jurisdiction to consider the Motion and the relief requested therein in accordance with 28 U.S.C. §§ 157 and 1334; and consideration of the Motion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venue being proper before this Court pursuant to 28 U.S.C. §§ 1408 and 1409; and due and proper notice of the Motion having been provided, and it appearing that no other or further notice need be provided; and all of the proceedings had before the Court; and the Court having found and determined that the legal and factual bases set forth in the Motion establish just cause for the relief granted herein; and after due deliberation and sufficient cause appearing therefor, it is</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Motion is granted as set forth herein;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Creditor's claim in the amount of [monetary value of goods] as set forth in the Motion is allowed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of the estate pursuant to Section 503(b)(9) of the Bankruptcy Code;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Debtors shall immediately remit the sum of [monetary value of goods] to the Creditor;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notice of the Motion as provided therein shall be deemed good and sufficient notice of such Motion; and</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this Court shall retain jurisdiction to hear and determine all matters arising from or related to the implementation and/or interpretation of this Order.</w:t>
      </w:r>
    </w:p>
    <w:p>
      <w:pPr>
        <w:keepNext w:val="0"/>
        <w:spacing w:before="200" w:after="0" w:line="260" w:lineRule="exact"/>
        <w:ind w:left="720" w:right="0" w:firstLine="0"/>
        <w:jc w:val="left"/>
      </w:pPr>
      <w:r>
        <w:rPr>
          <w:rFonts w:ascii="Times New Roman" w:hAnsi="Times New Roman" w:eastAsia="Times New Roman" w:cs="Times New Roman"/>
          <w:b w:val="0"/>
          <w:sz w:val="24"/>
        </w:rPr>
        <w:t>Dated: [date]</w:t>
      </w:r>
    </w:p>
    <w:p>
      <w:pPr>
        <w:keepNext w:val="0"/>
        <w:spacing w:before="200" w:after="0" w:line="260" w:lineRule="exact"/>
        <w:ind w:left="720" w:right="0" w:firstLine="0"/>
        <w:jc w:val="left"/>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