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Motion for Authority to Implement Retention and Severance Program</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sz w:val="24"/>
        </w:rPr>
        <w:t>IN THE UNITED STATES BANKRUPTCY COURT FOR THE DISTRICT OF ____________</w:t>
      </w:r>
    </w:p>
    <w:p>
      <w:pPr>
        <w:keepNext w:val="0"/>
        <w:spacing w:before="200" w:after="0" w:line="260" w:lineRule="exact"/>
        <w:ind w:left="360" w:right="0" w:firstLine="0"/>
        <w:jc w:val="both"/>
      </w:pPr>
      <w:r>
        <w:rPr>
          <w:rFonts w:ascii="Times New Roman" w:hAnsi="Times New Roman" w:eastAsia="Times New Roman" w:cs="Times New Roman"/>
          <w:b/>
          <w:sz w:val="24"/>
        </w:rPr>
        <w:t>MOTION UNDER BANKRUPTCY CODE SECTIONS 105(</w:t>
      </w:r>
      <w:r>
        <w:rPr>
          <w:rFonts w:ascii="Times New Roman" w:hAnsi="Times New Roman" w:eastAsia="Times New Roman" w:cs="Times New Roman"/>
          <w:b/>
          <w:sz w:val="24"/>
        </w:rPr>
        <w:t>a</w:t>
      </w:r>
      <w:r>
        <w:rPr>
          <w:rFonts w:ascii="Times New Roman" w:hAnsi="Times New Roman" w:eastAsia="Times New Roman" w:cs="Times New Roman"/>
          <w:b/>
          <w:sz w:val="24"/>
        </w:rPr>
        <w:t>), 363(b), AND 503(c)(3) FOR AUTHORITY TO IMPLEMENT RETENTION AND SEVERANCE PROGRAM</w:t>
      </w:r>
    </w:p>
    <w:p>
      <w:pPr>
        <w:keepNext w:val="0"/>
        <w:spacing w:before="200" w:after="0" w:line="260" w:lineRule="exact"/>
        <w:ind w:left="360" w:right="0" w:firstLine="0"/>
        <w:jc w:val="both"/>
      </w:pPr>
      <w:r>
        <w:rPr>
          <w:rFonts w:ascii="Times New Roman" w:hAnsi="Times New Roman" w:eastAsia="Times New Roman" w:cs="Times New Roman"/>
          <w:b w:val="0"/>
          <w:sz w:val="24"/>
        </w:rPr>
        <w:t>[Debtor(s) Name(s)] (the "</w:t>
      </w:r>
      <w:r>
        <w:rPr>
          <w:rFonts w:ascii="Times New Roman" w:hAnsi="Times New Roman" w:eastAsia="Times New Roman" w:cs="Times New Roman"/>
          <w:b/>
          <w:sz w:val="24"/>
        </w:rPr>
        <w:t>Debtor(s)</w:t>
      </w:r>
      <w:r>
        <w:rPr>
          <w:rFonts w:ascii="Times New Roman" w:hAnsi="Times New Roman" w:eastAsia="Times New Roman" w:cs="Times New Roman"/>
          <w:b w:val="0"/>
          <w:sz w:val="24"/>
        </w:rPr>
        <w:t xml:space="preserve">"), hereby files its </w:t>
      </w:r>
      <w:r>
        <w:rPr>
          <w:rFonts w:ascii="Times New Roman" w:hAnsi="Times New Roman" w:eastAsia="Times New Roman" w:cs="Times New Roman"/>
          <w:b w:val="0"/>
          <w:sz w:val="24"/>
        </w:rPr>
        <w:t>Motion Under Bankruptcy Code Sections 105(</w:t>
      </w:r>
      <w:r>
        <w:rPr>
          <w:rFonts w:ascii="Times New Roman" w:hAnsi="Times New Roman" w:eastAsia="Times New Roman" w:cs="Times New Roman"/>
          <w:b/>
          <w:sz w:val="24"/>
        </w:rPr>
        <w:t>a</w:t>
      </w:r>
      <w:r>
        <w:rPr>
          <w:rFonts w:ascii="Times New Roman" w:hAnsi="Times New Roman" w:eastAsia="Times New Roman" w:cs="Times New Roman"/>
          <w:b w:val="0"/>
          <w:sz w:val="24"/>
        </w:rPr>
        <w:t>), 363(b) and 503(c)(3) for Authority to Implement Retention and Severance Program</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Motion</w:t>
      </w:r>
      <w:r>
        <w:rPr>
          <w:rFonts w:ascii="Times New Roman" w:hAnsi="Times New Roman" w:eastAsia="Times New Roman" w:cs="Times New Roman"/>
          <w:b w:val="0"/>
          <w:sz w:val="24"/>
        </w:rPr>
        <w:t>") and in support thereof would respectfully show the Court as follows:</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PRELIMINARY STATEMENT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By this Motion, the Debtor requests that this Court enter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pursuant to sections 363(b), 105(</w:t>
      </w:r>
      <w:r>
        <w:rPr>
          <w:rFonts w:ascii="Times New Roman" w:hAnsi="Times New Roman" w:eastAsia="Times New Roman" w:cs="Times New Roman"/>
          <w:b/>
          <w:sz w:val="24"/>
        </w:rPr>
        <w:t>a</w:t>
      </w:r>
      <w:r>
        <w:rPr>
          <w:rFonts w:ascii="Times New Roman" w:hAnsi="Times New Roman" w:eastAsia="Times New Roman" w:cs="Times New Roman"/>
          <w:b w:val="0"/>
          <w:sz w:val="24"/>
        </w:rPr>
        <w:t>) and 503(c)(3) of the United States Bankruptcy Code, 11 U.S.C. § 101, et seq. (as amended, the "</w:t>
      </w:r>
      <w:r>
        <w:rPr>
          <w:rFonts w:ascii="Times New Roman" w:hAnsi="Times New Roman" w:eastAsia="Times New Roman" w:cs="Times New Roman"/>
          <w:b/>
          <w:sz w:val="24"/>
        </w:rPr>
        <w:t>Bankruptcy Code</w:t>
      </w:r>
      <w:r>
        <w:rPr>
          <w:rFonts w:ascii="Times New Roman" w:hAnsi="Times New Roman" w:eastAsia="Times New Roman" w:cs="Times New Roman"/>
          <w:b w:val="0"/>
          <w:sz w:val="24"/>
        </w:rPr>
        <w:t xml:space="preserve">") authorizing the Debtor to implement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retention and severance program designed to provide incentives for vital employees to remain with the Debtor during the chapter 11 process.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implementation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retention and severance program is important to retain and motivate employees whose services and knowledge will be necessary to the chapter 11 process. The program is designed to ensure that the Debtor can wind-down its operations properly, prudently, and as efficiently as possible by encouraging individuals to complete necessary wind-down tasks. The Debtor believes that the program is vital to the success of the contemplated wind-down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that maximizes the value of the Debtor's bankruptcy estate.</w:t>
      </w:r>
    </w:p>
    <w:p>
      <w:pPr>
        <w:keepNext w:val="0"/>
        <w:spacing w:before="120" w:after="0" w:line="260" w:lineRule="exact"/>
        <w:ind w:left="72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JURISDICTION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Court has jurisdiction over this Motion pursuant to 28 U.S.C. §§ 157 and 1334. The Motion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core proceeding within the meaning of 28 U.S.C. § 157(b)(2). Venue is proper pursuant to 28 U.S.C. §§ 1408 and 1409.</w:t>
      </w:r>
    </w:p>
    <w:p>
      <w:pPr>
        <w:keepNext w:val="0"/>
        <w:spacing w:before="120" w:after="0" w:line="260" w:lineRule="exact"/>
        <w:ind w:left="72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BACKGROUND</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[DATE] (the "</w:t>
      </w:r>
      <w:r>
        <w:rPr>
          <w:rFonts w:ascii="Times New Roman" w:hAnsi="Times New Roman" w:eastAsia="Times New Roman" w:cs="Times New Roman"/>
          <w:b/>
          <w:sz w:val="24"/>
        </w:rPr>
        <w:t>Petition Date</w:t>
      </w:r>
      <w:r>
        <w:rPr>
          <w:rFonts w:ascii="Times New Roman" w:hAnsi="Times New Roman" w:eastAsia="Times New Roman" w:cs="Times New Roman"/>
          <w:b w:val="0"/>
          <w:sz w:val="24"/>
        </w:rPr>
        <w:t xml:space="preserve">"), the Debtor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petition for relief under Chapter 11 of Bankruptcy Code.</w:t>
      </w:r>
    </w:p>
    <w:p>
      <w:pPr>
        <w:keepNext w:val="0"/>
        <w:spacing w:before="120" w:after="0" w:line="260" w:lineRule="exact"/>
        <w:ind w:left="72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RELIEF REQUESTED AND APPLICABLE AUTHORITY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By this Motion, the Debtor requests that the Court enter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pursuant to Bankruptcy Code sections 105(</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363(b), and 503(c)(3) approving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retention and severance program (the "</w:t>
      </w:r>
      <w:r>
        <w:rPr>
          <w:rFonts w:ascii="Times New Roman" w:hAnsi="Times New Roman" w:eastAsia="Times New Roman" w:cs="Times New Roman"/>
          <w:b/>
          <w:sz w:val="24"/>
        </w:rPr>
        <w:t>Retention Plan</w:t>
      </w:r>
      <w:r>
        <w:rPr>
          <w:rFonts w:ascii="Times New Roman" w:hAnsi="Times New Roman" w:eastAsia="Times New Roman" w:cs="Times New Roman"/>
          <w:b w:val="0"/>
          <w:sz w:val="24"/>
        </w:rPr>
        <w:t>") for certain of its non-insider employees who are vital to the chapter 11 process and the wind-down of the Debtor's business operations (collectively, the "</w:t>
      </w:r>
      <w:r>
        <w:rPr>
          <w:rFonts w:ascii="Times New Roman" w:hAnsi="Times New Roman" w:eastAsia="Times New Roman" w:cs="Times New Roman"/>
          <w:b/>
          <w:sz w:val="24"/>
        </w:rPr>
        <w:t>Employees</w:t>
      </w:r>
      <w:r>
        <w:rPr>
          <w:rFonts w:ascii="Times New Roman" w:hAnsi="Times New Roman" w:eastAsia="Times New Roman" w:cs="Times New Roman"/>
          <w:b w:val="0"/>
          <w:sz w:val="24"/>
        </w:rPr>
        <w:t>"). The Debtor also requests authority to pay, in its sole discretion and without further order of the Court, amounts earned and due under the Retention Plan as authorized by this Court.</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Prepetition, due to the uncertainty surrounding the Debtor's reorganization efforts as well as its financial condition and compelling need to ensure the retention of the Employees, the Debtor determined that it must consider implementing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retention program to retain and motivate the Employees. To determine the competitiveness and appropriateness of the proposed Retention Plan, the Debtor considered the extent to which the Debtor's existing compensation structure needed to be supplemented to influence positively the Employees to remain employed by the Debtor postpetition.</w:t>
      </w:r>
    </w:p>
    <w:p>
      <w:pPr>
        <w:keepNext w:val="0"/>
        <w:spacing w:before="120" w:after="0" w:line="260" w:lineRule="exact"/>
        <w:ind w:left="1080" w:right="0" w:firstLine="0"/>
        <w:jc w:val="left"/>
      </w:pPr>
      <w:r>
        <w:rPr>
          <w:rFonts w:ascii="Times New Roman" w:hAnsi="Times New Roman" w:eastAsia="Times New Roman" w:cs="Times New Roman"/>
          <w:b/>
          <w:sz w:val="24"/>
        </w:rPr>
        <w:t>Terms of Retention Plan</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Debtor proposes to implement the Retention Plan with respect to the non-insider employees who will be retained postpetition to assist with the wind-down and the overall bankruptcy process. The Retention Plan will including the following terms and conditions: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will be notified of the length of time (with respect to each Employee,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Milestone Date</w:t>
      </w:r>
      <w:r>
        <w:rPr>
          <w:rFonts w:ascii="Times New Roman" w:hAnsi="Times New Roman" w:eastAsia="Times New Roman" w:cs="Times New Roman"/>
          <w:b w:val="0"/>
          <w:sz w:val="24"/>
        </w:rPr>
        <w:t>") that such Employee will be asked to stay in the Debtor's employ after the bankruptcy filing and discontinuation of flight operations to assist in the wind-down and bankruptcy process.</w:t>
      </w:r>
    </w:p>
    <w:p>
      <w:pPr>
        <w:keepNext w:val="0"/>
        <w:spacing w:before="200" w:after="0" w:line="260" w:lineRule="exact"/>
        <w:ind w:left="1800" w:right="0" w:firstLine="0"/>
        <w:jc w:val="both"/>
      </w:pPr>
      <w:r>
        <w:rPr>
          <w:rFonts w:ascii="Times New Roman" w:hAnsi="Times New Roman" w:eastAsia="Times New Roman" w:cs="Times New Roman"/>
          <w:b w:val="0"/>
          <w:sz w:val="24"/>
        </w:rPr>
        <w:t>• Except as noted herein, all of the Debtor's employment policies will remain in place for the Employees postpetition.</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Employee will be paid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bonus (the "</w:t>
      </w:r>
      <w:r>
        <w:rPr>
          <w:rFonts w:ascii="Times New Roman" w:hAnsi="Times New Roman" w:eastAsia="Times New Roman" w:cs="Times New Roman"/>
          <w:b/>
          <w:sz w:val="24"/>
        </w:rPr>
        <w:t>Retention Bonus</w:t>
      </w:r>
      <w:r>
        <w:rPr>
          <w:rFonts w:ascii="Times New Roman" w:hAnsi="Times New Roman" w:eastAsia="Times New Roman" w:cs="Times New Roman"/>
          <w:b w:val="0"/>
          <w:sz w:val="24"/>
        </w:rPr>
        <w:t xml:space="preserve">") equal to __% of such employee's salary (at the compensation level effective immediately before the Petition Date) earned from the Petition Date to the Milestone Date. The Retention Bonus will be paid on the next payroll date occurring after the particular Milestone Date, and will be in lieu of any severance to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Employee would be entitled to under any existing policy or contract.</w:t>
      </w:r>
    </w:p>
    <w:p>
      <w:pPr>
        <w:keepNext w:val="0"/>
        <w:spacing w:before="200" w:after="0" w:line="260" w:lineRule="exact"/>
        <w:ind w:left="1800" w:right="0" w:firstLine="0"/>
        <w:jc w:val="both"/>
      </w:pPr>
      <w:r>
        <w:rPr>
          <w:rFonts w:ascii="Times New Roman" w:hAnsi="Times New Roman" w:eastAsia="Times New Roman" w:cs="Times New Roman"/>
          <w:b w:val="0"/>
          <w:sz w:val="24"/>
        </w:rPr>
        <w:t>• For those Employees who are eligible for and elect medical coverage under COBRA, the Debtor will cover __% of such Employee COBRA premiums until the Milestone Date applicable to the Employee, after which such subsidization will be discontinued.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Debtor releases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for other than cause before the occurrence of the particular Milestone Date, then the Retention Bonus will be calculated based on the total salary earned from the Petition Date to the date the Employee is released.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voluntarily terminates his or her employment or is discharged for cause prior to the end of the assigned Milestone Date, then no Retention Bonus will be paid.</w:t>
      </w:r>
    </w:p>
    <w:p>
      <w:pPr>
        <w:keepNext w:val="0"/>
        <w:spacing w:before="200" w:after="0" w:line="260" w:lineRule="exact"/>
        <w:ind w:left="1800" w:right="0" w:firstLine="0"/>
        <w:jc w:val="both"/>
      </w:pPr>
      <w:r>
        <w:rPr>
          <w:rFonts w:ascii="Times New Roman" w:hAnsi="Times New Roman" w:eastAsia="Times New Roman" w:cs="Times New Roman"/>
          <w:b w:val="0"/>
          <w:sz w:val="24"/>
        </w:rPr>
        <w:t>• The Debtor reserves the right (to the extent it becomes necessary and appropriate) to request authority to supplement the Retention Plan after the last Milestone Date has elapsed.</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chart depicts the various Milestone Dates, the anticipated number of Employees who will be employed through each Milestone Date, and the corresponding cost for each category:</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Employees possess unique skills, knowledge and experience critical to the wind-down of the business operations and the Debtor's chapter 11 process. Because the Employees have intimate familiarity with Debtor's operations, it would be impractical (and likely impossible given the state of the business operations) to replace the Employees. The continued employment, dedication and motivation of the Employees are essential to preserving and maximizing the value of the bankruptcy estate. The Retention Plan is designed to provide the Employees with the necessary assurance that they will be rewarded for their continued, dedicated service during the Debtor's bankruptcy.</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Debtor has exercised its sound business judgment in evaluating the need to implement the Retention Plan. The absence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retention and severance program would almost certainly result in the loss of the Employees, creating inefficiencies in the chapter 11 process and resulting in significant cost to the estate. In developing the Retention Plan, the Debtor considered, among other things, the extent and under what circumstances the Debtor's existing compensation structure and terms would need to be supplemented to positively influence the Employees to remain employed by Debtor. The Retention Plan proposed herein is the result of that analysis. The approval of the Retention Plan will contribute to the Debtor's bankruptcy by preventing the immediate loss of the Employees, which in turn will promote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efficient wind-down of the Debtor's business and help maximize the value of the bankruptcy estate.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WHEREFORE, the Debtor respectfully requests that the Court enter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w:t>
      </w:r>
      <w:r>
        <w:rPr>
          <w:rFonts w:ascii="Times New Roman" w:hAnsi="Times New Roman" w:eastAsia="Times New Roman" w:cs="Times New Roman"/>
          <w:b/>
          <w:sz w:val="24"/>
        </w:rPr>
        <w:t>a</w:t>
      </w:r>
      <w:r>
        <w:rPr>
          <w:rFonts w:ascii="Times New Roman" w:hAnsi="Times New Roman" w:eastAsia="Times New Roman" w:cs="Times New Roman"/>
          <w:b w:val="0"/>
          <w:sz w:val="24"/>
        </w:rPr>
        <w:t>) granting this Motion; (b) approving the Retention Plan and authorizing the Debtor to implement the Retention Plan; and (c) granting the Debtor such other legal and equitable relief to which it is entitled.</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sz w:val="24"/>
        </w:rPr>
        <w:t>LAW FIRM NAME</w:t>
      </w:r>
    </w:p>
    <w:p>
      <w:pPr>
        <w:keepNext w:val="0"/>
        <w:spacing w:before="120" w:after="0" w:line="260" w:lineRule="exact"/>
        <w:ind w:left="360" w:right="0" w:firstLine="0"/>
        <w:jc w:val="left"/>
      </w:pPr>
      <w:r>
        <w:rPr>
          <w:rFonts w:ascii="Times New Roman" w:hAnsi="Times New Roman" w:eastAsia="Times New Roman" w:cs="Times New Roman"/>
          <w:b w:val="0"/>
          <w:sz w:val="24"/>
        </w:rPr>
        <w:t>By: /</w:t>
      </w:r>
      <w:r>
        <w:rPr>
          <w:rFonts w:ascii="Times New Roman" w:hAnsi="Times New Roman" w:eastAsia="Times New Roman" w:cs="Times New Roman"/>
          <w:b w:val="0"/>
          <w:sz w:val="24"/>
        </w:rPr>
        <w:t>s</w:t>
      </w:r>
      <w:r>
        <w:rPr>
          <w:rFonts w:ascii="Times New Roman" w:hAnsi="Times New Roman" w:eastAsia="Times New Roman" w:cs="Times New Roman"/>
          <w:b w:val="0"/>
          <w:sz w:val="24"/>
        </w:rPr>
        <w:t>/ _____________________________________________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Block]</w:t>
      </w:r>
    </w:p>
    <w:p>
      <w:pPr>
        <w:keepNext w:val="0"/>
        <w:spacing w:before="200" w:after="0" w:line="260" w:lineRule="exact"/>
        <w:ind w:left="360" w:right="0" w:firstLine="0"/>
        <w:jc w:val="both"/>
      </w:pPr>
      <w:r>
        <w:rPr>
          <w:rFonts w:ascii="Times New Roman" w:hAnsi="Times New Roman" w:eastAsia="Times New Roman" w:cs="Times New Roman"/>
          <w:b/>
          <w:sz w:val="24"/>
        </w:rPr>
        <w:t>ATTORNEYS FOR THE DEBTOR-IN-POSSESSION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