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Judgment on the Pleadings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moves under Wash. CR 12(c) for judgment on the pleadings against plaintiff [plaintiff name].</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as many paragraphs as necessary, set forth relevant facts based on allegations in pleadings].</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ISSUES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required by local rules, set forth relevant issues to be decided, e.g.: 1. Should judgment on the pleadings be entered in defendant's favor because the allegations in plaintiff's complaint, even if assumed to be true, do not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on which relief may be granted?]</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RELIED 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the motion, defendant relies on the pleadings on file in this action and exhibits attached to them.</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judgment on the pleadings in favor of defendant is proper under Wash. CR 12(c) when the plaintiff is unable to prove any set of facts consistent with the complaint that would entitle the plaintiff to relief. Northwest Animal Rights Network v. State, 158 Wn. App. 237, 241, 242 P.3d 891 (2010). The court should grant the motion if the court determines from the pleadings that no viable is claim stated, even if the facts alleged in the complaint are true. See Matsyuk v. State Farm Fire &amp; Cas. Co. of Ill., 173 Wn.2d 643, 662–663, 272 P.3d 802 (2012). In this case, [cite additional legal authority and develop argument showing that plaintiff's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relief].</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all these reasons, defendant [defendant name] respectfully requests that the court enter judgment on the pleadings in [his or her or its] favor in this action and order that plaintiff's action be dismissed.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