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Motion for Multidistrict Litigation (MDL) Transfer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BEFORE THE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UNITED STATES JUDICIAL PANEL ON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MULTIDISTRICT LITIGATION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MOTION OF [PLAINTIFF/ DEFENDANT] [PARTY]'s FOR TRANSFER OF ACTIONS TO THE [THE DISTRICT COURT TO WHICH TRANSFER IS REQUESTED] PURSUANT TO 28 U.S.C. § 1407 FOR COORDINATED OR CONSOLIDATED PRETRIAL PROCEEDINGS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[party name, such as Plaintiffs Jane Smith and John Smith] in actions pending in the [district(s) in which moving parties' actions are pending] respectfully move this Panel, pursuant to 28 U.S.C. § 1407(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 to transfer actions to the [district and/or judge to which transfer is sought] ("transferee court").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actions proposed to be transfer allege [brief description of allegations]. Counsel has identified [number of cases] pending in [number of districts].</w:t>
      </w:r>
    </w:p>
    <w:p>
      <w:pPr/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[Counsel's name] (Bar No. [Number])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Telephone: [Number]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Facsimile: [Number]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E-mail: [E-mail]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Attorneys for [Plaintiff/Defendant] [name]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BRIEF IN SUPPORT OF [PLAINTIFF/DEFENDANT] [PARTY]'S MOTION FOR TRANSFER OF ACTIONS PURSUANT TO 28 U.S.C. § 1407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  <w:r>
        <w:rPr>
          <w:rFonts w:ascii="Times New Roman" w:hAnsi="Times New Roman" w:eastAsia="Times New Roman" w:cs="Times New Roman"/>
          <w:b/>
          <w:sz w:val="24"/>
        </w:rPr>
        <w:t>Background.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Arguments.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The Actions Share Common Questions of Fact.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Plaintiffs in the actions allege [describe the shared allegations].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common questions of fact are sufficiently [numerous] [and] [complex] to warrant consolidation and transfer, and include: [list the common questions, for example: (1) whether defendant failed to warn consumers about the known association between drug and health condition; (2) whether defendants engaged in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price-fixing conspiracy].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(b)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Transfer Will Benefit the Parties and Witnesses and Facilitate Just and Efficient Proceedings.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Consolidation and transfer will [avoid duplicative discovery] [and] [avoid inconsistent [class action] [pretrial rulings] [other issues]. [Explain each convenience factor].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(c)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The [requested district] District Is the Appropriate Transferee Court.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[requested district] is the appropriate transferee court because [identify reasons, such as location of pending actions and the advanced stage of any proceedings, location of parties, witnesses, and evidence, and court-specific factors]. [Explain each reason].</w:t>
      </w:r>
    </w:p>
    <w:p>
      <w:pPr/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[Counsel's name] (Bar No. [Number])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Telephone: [Number]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Facsimile: [Number]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E-mail: [E-mail]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Attorneys for [Plaintiff/Defendant] [name]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BEFORE THE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UNITED STATES JUDICIAL PANEL ON MULTIDISTRICT LITIGATION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MDL No. [Case Number]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In Re</w:t>
      </w:r>
      <w:r>
        <w:rPr>
          <w:rFonts w:ascii="Times New Roman" w:hAnsi="Times New Roman" w:eastAsia="Times New Roman" w:cs="Times New Roman"/>
          <w:b/>
          <w:sz w:val="24"/>
        </w:rPr>
        <w:t>: [Case Description] Litigation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SCHEDULE OF ACTIONS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