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b/>
          <w:sz w:val="24"/>
        </w:rPr>
        <w:t xml:space="preserve">IN THE UNITED STATES BANKRUPTCY COURT FOR THE DISTRICT OF </w:t>
      </w:r>
      <w:r>
        <w:rPr>
          <w:rFonts w:ascii="Times New Roman" w:hAnsi="Times New Roman" w:eastAsia="Times New Roman" w:cs="Times New Roman"/>
          <w:b/>
          <w:sz w:val="24"/>
        </w:rPr>
        <w:t>____________________</w:t>
      </w:r>
    </w:p>
    <w:p>
      <w:pPr/>
    </w:p>
    <w:p>
      <w:pPr/>
    </w:p>
    <w:p>
      <w:pPr/>
      <w:r>
        <w:rPr>
          <w:rFonts w:ascii="Times New Roman" w:hAnsi="Times New Roman" w:eastAsia="Times New Roman" w:cs="Times New Roman"/>
          <w:sz w:val="24"/>
        </w:rPr>
        <w:t>MOTION FOR AN ORDER ESTABLISHING PROCEDURES, NUNC PRO TUNC, FOR INTERIM COMPENSATION AND REIMBURSEMENT OF CHAPTER 11 PROFESSIONALS AND COMMITTEE PROFESSIONALS</w:t>
      </w:r>
    </w:p>
    <w:p>
      <w:pPr/>
      <w:r>
        <w:rPr>
          <w:rFonts w:ascii="Times New Roman" w:hAnsi="Times New Roman" w:eastAsia="Times New Roman" w:cs="Times New Roman"/>
          <w:sz w:val="24"/>
        </w:rPr>
        <w:t>[Debtor(s) Name(s)] (the “</w:t>
      </w:r>
      <w:r>
        <w:rPr>
          <w:rFonts w:ascii="Times New Roman" w:hAnsi="Times New Roman" w:eastAsia="Times New Roman" w:cs="Times New Roman"/>
          <w:b/>
          <w:sz w:val="24"/>
        </w:rPr>
        <w:t>Debtor(s)</w:t>
      </w:r>
      <w:r>
        <w:rPr>
          <w:rFonts w:ascii="Times New Roman" w:hAnsi="Times New Roman" w:eastAsia="Times New Roman" w:cs="Times New Roman"/>
          <w:sz w:val="24"/>
        </w:rPr>
        <w:t xml:space="preserve">”), hereby files its Motion for an Order Establishing Procedures, Nunc Pro </w:t>
      </w:r>
      <w:r>
        <w:rPr>
          <w:rFonts w:ascii="Times New Roman" w:hAnsi="Times New Roman" w:eastAsia="Times New Roman" w:cs="Times New Roman"/>
          <w:sz w:val="24"/>
        </w:rPr>
        <w:t>Tunc</w:t>
      </w:r>
      <w:r>
        <w:rPr>
          <w:rFonts w:ascii="Times New Roman" w:hAnsi="Times New Roman" w:eastAsia="Times New Roman" w:cs="Times New Roman"/>
          <w:sz w:val="24"/>
        </w:rPr>
        <w:t>, for Interim Compensation and Reimbursement of Chapter 11 Professionals and Committee Professionals (the “</w:t>
      </w:r>
      <w:r>
        <w:rPr>
          <w:rFonts w:ascii="Times New Roman" w:hAnsi="Times New Roman" w:eastAsia="Times New Roman" w:cs="Times New Roman"/>
          <w:b/>
          <w:sz w:val="24"/>
        </w:rPr>
        <w:t>Motion</w:t>
      </w:r>
      <w:r>
        <w:rPr>
          <w:rFonts w:ascii="Times New Roman" w:hAnsi="Times New Roman" w:eastAsia="Times New Roman" w:cs="Times New Roman"/>
          <w:sz w:val="24"/>
        </w:rPr>
        <w:t>”), and respectfully represents as follows:</w:t>
      </w:r>
    </w:p>
    <w:p>
      <w:pPr/>
      <w:r>
        <w:rPr>
          <w:rFonts w:ascii="Times New Roman" w:hAnsi="Times New Roman" w:eastAsia="Times New Roman" w:cs="Times New Roman"/>
          <w:sz w:val="24"/>
        </w:rPr>
        <w:t>I. JURISDICTION AND VENUE.</w:t>
      </w:r>
    </w:p>
    <w:p>
      <w:pPr/>
      <w:r>
        <w:rPr>
          <w:rFonts w:ascii="Times New Roman" w:hAnsi="Times New Roman" w:eastAsia="Times New Roman" w:cs="Times New Roman"/>
          <w:sz w:val="24"/>
        </w:rPr>
        <w:t>The Court has jurisdiction over this Motion pursuant to 28 U.S.C. §§ 157 and 1334. The Motion constitutes a core proceeding within the meaning of 28 U.S.C. § 157(b)(2). Venue is proper pursuant to 28 U.S.C. §§ 1408 and 1409.</w:t>
      </w:r>
    </w:p>
    <w:p>
      <w:pPr/>
      <w:r>
        <w:rPr>
          <w:rFonts w:ascii="Times New Roman" w:hAnsi="Times New Roman" w:eastAsia="Times New Roman" w:cs="Times New Roman"/>
          <w:sz w:val="24"/>
        </w:rPr>
        <w:t>II. BACKGROUND.</w:t>
      </w:r>
    </w:p>
    <w:p>
      <w:pPr/>
      <w:r>
        <w:rPr>
          <w:rFonts w:ascii="Times New Roman" w:hAnsi="Times New Roman" w:eastAsia="Times New Roman" w:cs="Times New Roman"/>
          <w:sz w:val="24"/>
        </w:rPr>
        <w:t>On [DATE] (the “</w:t>
      </w:r>
      <w:r>
        <w:rPr>
          <w:rFonts w:ascii="Times New Roman" w:hAnsi="Times New Roman" w:eastAsia="Times New Roman" w:cs="Times New Roman"/>
          <w:b/>
          <w:sz w:val="24"/>
        </w:rPr>
        <w:t>Petition Date</w:t>
      </w:r>
      <w:r>
        <w:rPr>
          <w:rFonts w:ascii="Times New Roman" w:hAnsi="Times New Roman" w:eastAsia="Times New Roman" w:cs="Times New Roman"/>
          <w:sz w:val="24"/>
        </w:rPr>
        <w:t>”), the Debtor filed a voluntary petition for relief under Chapter 11 of Bankruptcy Code.</w:t>
      </w:r>
    </w:p>
    <w:p>
      <w:pPr/>
      <w:r>
        <w:rPr>
          <w:rFonts w:ascii="Times New Roman" w:hAnsi="Times New Roman" w:eastAsia="Times New Roman" w:cs="Times New Roman"/>
          <w:sz w:val="24"/>
        </w:rPr>
        <w:t>III. RELIEF REQUESTED.</w:t>
      </w:r>
    </w:p>
    <w:p>
      <w:pPr/>
      <w:r>
        <w:rPr>
          <w:rFonts w:ascii="Times New Roman" w:hAnsi="Times New Roman" w:eastAsia="Times New Roman" w:cs="Times New Roman"/>
          <w:sz w:val="24"/>
        </w:rPr>
        <w:t>The Debtor seeks relief, pursuant to sections 105(a) and 331 of title 11 of the United States Code (the “</w:t>
      </w:r>
      <w:r>
        <w:rPr>
          <w:rFonts w:ascii="Times New Roman" w:hAnsi="Times New Roman" w:eastAsia="Times New Roman" w:cs="Times New Roman"/>
          <w:b/>
          <w:sz w:val="24"/>
        </w:rPr>
        <w:t>Bankruptcy Code</w:t>
      </w:r>
      <w:r>
        <w:rPr>
          <w:rFonts w:ascii="Times New Roman" w:hAnsi="Times New Roman" w:eastAsia="Times New Roman" w:cs="Times New Roman"/>
          <w:sz w:val="24"/>
        </w:rPr>
        <w:t>”), establishing an orderly, regular procedure for the payment of compensation and reimbursement of expenses for attorneys and other professionals whose services are authorized by this Court pursuant to sections 327 or 1103 of the Bankruptcy Code and who will be required to file applications for allowance of compensation and reimbursement of reasonable out-of-pocket expenses pursuant to sections 330 and 331 of the Bankruptcy Code.</w:t>
      </w:r>
    </w:p>
    <w:p>
      <w:pPr/>
      <w:r>
        <w:rPr>
          <w:rFonts w:ascii="Times New Roman" w:hAnsi="Times New Roman" w:eastAsia="Times New Roman" w:cs="Times New Roman"/>
          <w:sz w:val="24"/>
        </w:rPr>
        <w:t>IV. PROPOSED COMPENSATION PROCEDURES.</w:t>
      </w:r>
    </w:p>
    <w:p>
      <w:pPr/>
      <w:r>
        <w:rPr>
          <w:rFonts w:ascii="Times New Roman" w:hAnsi="Times New Roman" w:eastAsia="Times New Roman" w:cs="Times New Roman"/>
          <w:sz w:val="24"/>
        </w:rPr>
        <w:t>The Court has authorized the retention of certain professionals to assist the Debtor in the administration of this Chapter 11 case. Moreover, a Creditors’ Committee may possibly retain other professionals, to represent them (collectively, with the Debtor’s professionals, the “</w:t>
      </w:r>
      <w:r>
        <w:rPr>
          <w:rFonts w:ascii="Times New Roman" w:hAnsi="Times New Roman" w:eastAsia="Times New Roman" w:cs="Times New Roman"/>
          <w:b/>
          <w:sz w:val="24"/>
        </w:rPr>
        <w:t>Professionals</w:t>
      </w:r>
      <w:r>
        <w:rPr>
          <w:rFonts w:ascii="Times New Roman" w:hAnsi="Times New Roman" w:eastAsia="Times New Roman" w:cs="Times New Roman"/>
          <w:sz w:val="24"/>
        </w:rPr>
        <w:t>”).</w:t>
      </w:r>
    </w:p>
    <w:p>
      <w:pPr/>
      <w:r>
        <w:rPr>
          <w:rFonts w:ascii="Times New Roman" w:hAnsi="Times New Roman" w:eastAsia="Times New Roman" w:cs="Times New Roman"/>
          <w:sz w:val="24"/>
        </w:rPr>
        <w:t>The Debtor proposes that the monthly payment of compensation and reimbursement of expenses of the Professionals be structured as follows:</w:t>
      </w:r>
    </w:p>
    <w:p>
      <w:pPr/>
      <w:r>
        <w:rPr>
          <w:rFonts w:ascii="Times New Roman" w:hAnsi="Times New Roman" w:eastAsia="Times New Roman" w:cs="Times New Roman"/>
          <w:sz w:val="24"/>
        </w:rPr>
        <w:t>On or before the 20th day of each month following the month for which compensation is sought, each Professional (and Creditors’ Committee member, as applicable and discussed below) will serve a statement of services rendered and expenses incurred (a “</w:t>
      </w:r>
      <w:r>
        <w:rPr>
          <w:rFonts w:ascii="Times New Roman" w:hAnsi="Times New Roman" w:eastAsia="Times New Roman" w:cs="Times New Roman"/>
          <w:b/>
          <w:sz w:val="24"/>
        </w:rPr>
        <w:t>Monthly Fee Statement</w:t>
      </w:r>
      <w:r>
        <w:rPr>
          <w:rFonts w:ascii="Times New Roman" w:hAnsi="Times New Roman" w:eastAsia="Times New Roman" w:cs="Times New Roman"/>
          <w:sz w:val="24"/>
        </w:rPr>
        <w:t>”) during the prior month upon (</w:t>
      </w:r>
      <w:r>
        <w:rPr>
          <w:rFonts w:ascii="Times New Roman" w:hAnsi="Times New Roman" w:eastAsia="Times New Roman" w:cs="Times New Roman"/>
          <w:sz w:val="24"/>
        </w:rPr>
        <w:t>i</w:t>
      </w:r>
      <w:r>
        <w:rPr>
          <w:rFonts w:ascii="Times New Roman" w:hAnsi="Times New Roman" w:eastAsia="Times New Roman" w:cs="Times New Roman"/>
          <w:sz w:val="24"/>
        </w:rPr>
        <w:t>) the Debtor; (ii) the Debtor’s counsel; (iii) the United States Trustee; (iv) [Add additional notice parties as relevant] and (iv) counsel for the Creditors’ Committee and for any other statutory committee appointed (the “</w:t>
      </w:r>
      <w:r>
        <w:rPr>
          <w:rFonts w:ascii="Times New Roman" w:hAnsi="Times New Roman" w:eastAsia="Times New Roman" w:cs="Times New Roman"/>
          <w:b/>
          <w:sz w:val="24"/>
        </w:rPr>
        <w:t>Committee</w:t>
      </w:r>
      <w:r>
        <w:rPr>
          <w:rFonts w:ascii="Times New Roman" w:hAnsi="Times New Roman" w:eastAsia="Times New Roman" w:cs="Times New Roman"/>
          <w:sz w:val="24"/>
        </w:rPr>
        <w:t>” and collectively, the “</w:t>
      </w:r>
      <w:r>
        <w:rPr>
          <w:rFonts w:ascii="Times New Roman" w:hAnsi="Times New Roman" w:eastAsia="Times New Roman" w:cs="Times New Roman"/>
          <w:b/>
          <w:sz w:val="24"/>
        </w:rPr>
        <w:t>Application Recipients</w:t>
      </w:r>
      <w:r>
        <w:rPr>
          <w:rFonts w:ascii="Times New Roman" w:hAnsi="Times New Roman" w:eastAsia="Times New Roman" w:cs="Times New Roman"/>
          <w:sz w:val="24"/>
        </w:rPr>
        <w:t xml:space="preserve">”) in this case. Each entity receiving a statement will have ten (10) days after the date of receipt to review and raise objections, if any, to each statement. At the expiration of the ten (10) day objection period, the Debtor will promptly pay eighty percent (80%) of the fees and one hundred percent (100%) of the out-of-pocket expenses identified in each monthly statement, except such fees or expenses as to which an objection may be served by one of the Application Recipients as provided in sub-paragraph (d) below. In the first Monthly Fee Statement after the entry of an order granting the Motion, the Professionals may seek payment for all services </w:t>
      </w:r>
      <w:r>
        <w:rPr>
          <w:rFonts w:ascii="Times New Roman" w:hAnsi="Times New Roman" w:eastAsia="Times New Roman" w:cs="Times New Roman"/>
          <w:sz w:val="24"/>
        </w:rPr>
        <w:t>nunc</w:t>
      </w:r>
      <w:r>
        <w:rPr>
          <w:rFonts w:ascii="Times New Roman" w:hAnsi="Times New Roman" w:eastAsia="Times New Roman" w:cs="Times New Roman"/>
          <w:sz w:val="24"/>
        </w:rPr>
        <w:t xml:space="preserve"> pro </w:t>
      </w:r>
      <w:r>
        <w:rPr>
          <w:rFonts w:ascii="Times New Roman" w:hAnsi="Times New Roman" w:eastAsia="Times New Roman" w:cs="Times New Roman"/>
          <w:sz w:val="24"/>
        </w:rPr>
        <w:t>tunc</w:t>
      </w:r>
      <w:r>
        <w:rPr>
          <w:rFonts w:ascii="Times New Roman" w:hAnsi="Times New Roman" w:eastAsia="Times New Roman" w:cs="Times New Roman"/>
          <w:sz w:val="24"/>
        </w:rPr>
        <w:t xml:space="preserve"> to the Petition Date.</w:t>
      </w:r>
    </w:p>
    <w:p>
      <w:pPr/>
      <w:r>
        <w:rPr>
          <w:rFonts w:ascii="Times New Roman" w:hAnsi="Times New Roman" w:eastAsia="Times New Roman" w:cs="Times New Roman"/>
          <w:sz w:val="24"/>
        </w:rPr>
        <w:t xml:space="preserve">Each Monthly Fee Statements will comply with the Bankruptcy Code, the Bankruptcy Rules, applicable </w:t>
      </w:r>
      <w:r>
        <w:rPr>
          <w:rFonts w:ascii="Times New Roman" w:hAnsi="Times New Roman" w:eastAsia="Times New Roman" w:cs="Times New Roman"/>
          <w:sz w:val="24"/>
        </w:rPr>
        <w:t>____________________</w:t>
      </w:r>
      <w:r>
        <w:rPr>
          <w:rFonts w:ascii="Times New Roman" w:hAnsi="Times New Roman" w:eastAsia="Times New Roman" w:cs="Times New Roman"/>
          <w:sz w:val="24"/>
        </w:rPr>
        <w:t xml:space="preserve"> Circuit law and the Local Rules.</w:t>
      </w:r>
    </w:p>
    <w:p>
      <w:pPr/>
      <w:r>
        <w:rPr>
          <w:rFonts w:ascii="Times New Roman" w:hAnsi="Times New Roman" w:eastAsia="Times New Roman" w:cs="Times New Roman"/>
          <w:sz w:val="24"/>
        </w:rPr>
        <w:t>For those Professionals who bill based on time, each Monthly Fee Statement must contain a list of the individuals and their respective titles (</w:t>
      </w:r>
      <w:r>
        <w:rPr>
          <w:rFonts w:ascii="Times New Roman" w:hAnsi="Times New Roman" w:eastAsia="Times New Roman" w:cs="Times New Roman"/>
          <w:sz w:val="24"/>
        </w:rPr>
        <w:t>e.g.,</w:t>
      </w:r>
      <w:r>
        <w:rPr>
          <w:rFonts w:ascii="Times New Roman" w:hAnsi="Times New Roman" w:eastAsia="Times New Roman" w:cs="Times New Roman"/>
          <w:sz w:val="24"/>
        </w:rPr>
        <w:t xml:space="preserve"> attorney, accountant, or paralegal) who provided services during the statement period, their respective billing rates, the aggregate hours spent by each individual, a reasonably detailed breakdown of the disbursements incurred, and contemporaneously maintained time entries for each individual in increments of tenths (1/10) of an hour.</w:t>
      </w:r>
    </w:p>
    <w:p>
      <w:pPr/>
      <w:r>
        <w:rPr>
          <w:rFonts w:ascii="Times New Roman" w:hAnsi="Times New Roman" w:eastAsia="Times New Roman" w:cs="Times New Roman"/>
          <w:sz w:val="24"/>
        </w:rPr>
        <w:t>In the event that one of the Application Recipients has an objection to the compensation or reimbursement sought in a particular monthly statement, such party shall, within ten (10) days after the receipt of the statement, serve upon (</w:t>
      </w:r>
      <w:r>
        <w:rPr>
          <w:rFonts w:ascii="Times New Roman" w:hAnsi="Times New Roman" w:eastAsia="Times New Roman" w:cs="Times New Roman"/>
          <w:sz w:val="24"/>
        </w:rPr>
        <w:t>i</w:t>
      </w:r>
      <w:r>
        <w:rPr>
          <w:rFonts w:ascii="Times New Roman" w:hAnsi="Times New Roman" w:eastAsia="Times New Roman" w:cs="Times New Roman"/>
          <w:sz w:val="24"/>
        </w:rPr>
        <w:t xml:space="preserve">) the Professional to whose statement an objection is made, and (ii) the other Application Recipients, a written “Notice of Objection To Fee Statement,” with a statement setting forth the precise nature of the objection and the amount at issue. Thereafter, the objecting party and the Professional to whose statement an objection has been submitted shall attempt to reach an agreement regarding the correct payment to be made. If the parties are unable to reach an agreement on the objection within five (5) days after receipt of such objection, the Professional whose fee statement is subject to an objection shall have the option of (1) filing the objection together with a request for payment of the disputed amount with the Court, or (2) foregoing payment of the disputed amount until the next interim fee application hearing, at which time the Court will consider and dispose of the objection if payment of the disputed amount is </w:t>
      </w:r>
      <w:r>
        <w:rPr>
          <w:rFonts w:ascii="Times New Roman" w:hAnsi="Times New Roman" w:eastAsia="Times New Roman" w:cs="Times New Roman"/>
          <w:sz w:val="24"/>
        </w:rPr>
        <w:t>requested. The Debtor requests that it be permitted to pay that portion of fees and expenses that are not disputed.</w:t>
      </w:r>
    </w:p>
    <w:p>
      <w:pPr/>
      <w:r>
        <w:rPr>
          <w:rFonts w:ascii="Times New Roman" w:hAnsi="Times New Roman" w:eastAsia="Times New Roman" w:cs="Times New Roman"/>
          <w:sz w:val="24"/>
        </w:rPr>
        <w:t>On or before [DATE], and on or before the last day of each of the following three (3) month periods thereafter, each of the Professionals shall file with the Court and serve on the Application Recipients, an application, pursuant to section 331 of the Bankruptcy Code, for interim Court approval and allowance of compensation and reimbursement of expenses incurred during the prior three (3) months. Any Professional who fails to file an application when due as directed by this sub-paragraph shall be ineligible to receive further monthly or interim payments of fees or expenses as provided herein until such time as the application is submitted. Counsel for the Debtor will obtain a hearing date and notify each Professional of the deadline to file interim fee applications.</w:t>
      </w:r>
    </w:p>
    <w:p>
      <w:pPr/>
      <w:r>
        <w:rPr>
          <w:rFonts w:ascii="Times New Roman" w:hAnsi="Times New Roman" w:eastAsia="Times New Roman" w:cs="Times New Roman"/>
          <w:sz w:val="24"/>
        </w:rPr>
        <w:t>The pendency of an objection or a Court order stating that payment of compensation or reimbursement of expenses was improper as to a particular monthly or interim statement shall not disqualify a Professional from the further payment of monthly and interim compensation or reimbursement of expenses as set forth above, except as otherwise directed by an Order of the Court.</w:t>
      </w:r>
    </w:p>
    <w:p>
      <w:pPr/>
      <w:r>
        <w:rPr>
          <w:rFonts w:ascii="Times New Roman" w:hAnsi="Times New Roman" w:eastAsia="Times New Roman" w:cs="Times New Roman"/>
          <w:sz w:val="24"/>
        </w:rPr>
        <w:t>Neither the payment of, nor the failure to pay, in whole or in part, monthly or interim compensation and reimbursement as provided herein shall bind any party-in-interest or the Court with respect to the interim or final allowance of applications for compensation and reimbursement of Professionals.</w:t>
      </w:r>
    </w:p>
    <w:p>
      <w:pPr/>
      <w:r>
        <w:rPr>
          <w:rFonts w:ascii="Times New Roman" w:hAnsi="Times New Roman" w:eastAsia="Times New Roman" w:cs="Times New Roman"/>
          <w:sz w:val="24"/>
        </w:rPr>
        <w:t>The procedure proposed herein (the “</w:t>
      </w:r>
      <w:r>
        <w:rPr>
          <w:rFonts w:ascii="Times New Roman" w:hAnsi="Times New Roman" w:eastAsia="Times New Roman" w:cs="Times New Roman"/>
          <w:b/>
          <w:sz w:val="24"/>
        </w:rPr>
        <w:t>Compensation Procedures</w:t>
      </w:r>
      <w:r>
        <w:rPr>
          <w:rFonts w:ascii="Times New Roman" w:hAnsi="Times New Roman" w:eastAsia="Times New Roman" w:cs="Times New Roman"/>
          <w:sz w:val="24"/>
        </w:rPr>
        <w:t>”) will enable all parties to closely monitor costs of administration, and will enable the Debtor to maintain cash flow availability and to implement efficient cash management.</w:t>
      </w:r>
    </w:p>
    <w:p>
      <w:pPr/>
      <w:r>
        <w:rPr>
          <w:rFonts w:ascii="Times New Roman" w:hAnsi="Times New Roman" w:eastAsia="Times New Roman" w:cs="Times New Roman"/>
          <w:sz w:val="24"/>
        </w:rPr>
        <w:t>The Debtor further requests that each member of any committee appointed in this case be permitted to submit statements of expenses and supporting vouchers to counsel for such committee, who will collect and submit such requests for reimbursement in accordance with the foregoing procedure for monthly and interim compensation and reimbursement of professionals, pursuant to 11 U.S.C. § 503(b)(3)(F).</w:t>
      </w:r>
    </w:p>
    <w:p>
      <w:pPr/>
    </w:p>
    <w:p>
      <w:pPr/>
      <w:r>
        <w:rPr>
          <w:rFonts w:ascii="Times New Roman" w:hAnsi="Times New Roman" w:eastAsia="Times New Roman" w:cs="Times New Roman"/>
          <w:sz w:val="24"/>
        </w:rPr>
        <w:t>WHEREFORE, the Debtor respectfully requests that the Court enter an order (</w:t>
      </w:r>
      <w:r>
        <w:rPr>
          <w:rFonts w:ascii="Times New Roman" w:hAnsi="Times New Roman" w:eastAsia="Times New Roman" w:cs="Times New Roman"/>
          <w:sz w:val="24"/>
        </w:rPr>
        <w:t>i</w:t>
      </w:r>
      <w:r>
        <w:rPr>
          <w:rFonts w:ascii="Times New Roman" w:hAnsi="Times New Roman" w:eastAsia="Times New Roman" w:cs="Times New Roman"/>
          <w:sz w:val="24"/>
        </w:rPr>
        <w:t>) granting this Motion, (ii) approving the Compensation Procedures as provided for herein, and (iii) granting such other and further relief as is just and proper.</w:t>
      </w:r>
    </w:p>
    <w:p>
      <w:pPr/>
      <w:r>
        <w:rPr>
          <w:rFonts w:ascii="Times New Roman" w:hAnsi="Times New Roman" w:eastAsia="Times New Roman" w:cs="Times New Roman"/>
          <w:sz w:val="24"/>
        </w:rPr>
        <w:t>Dated: [DATE].</w:t>
      </w:r>
    </w:p>
    <w:p>
      <w:pPr/>
      <w:r>
        <w:rPr>
          <w:rFonts w:ascii="Times New Roman" w:hAnsi="Times New Roman" w:eastAsia="Times New Roman" w:cs="Times New Roman"/>
          <w:b/>
          <w:sz w:val="24"/>
        </w:rPr>
        <w:t>LAW FIRM NAME</w:t>
      </w:r>
    </w:p>
    <w:p>
      <w:pPr/>
    </w:p>
    <w:p>
      <w:pPr/>
    </w:p>
    <w:p>
      <w:pPr/>
      <w:r>
        <w:rPr>
          <w:rFonts w:ascii="Times New Roman" w:hAnsi="Times New Roman" w:eastAsia="Times New Roman" w:cs="Times New Roman"/>
          <w:b/>
          <w:sz w:val="24"/>
        </w:rPr>
        <w:t>ATTORNEYS FOR THE DEBTOR-IN-POSSESSION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